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BE" w:rsidRPr="006C4984" w:rsidRDefault="00455FCA" w:rsidP="00455F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6C4984" w:rsidRPr="006C4984">
        <w:rPr>
          <w:rFonts w:ascii="Times New Roman" w:hAnsi="Times New Roman" w:cs="Times New Roman"/>
          <w:b/>
          <w:sz w:val="28"/>
          <w:szCs w:val="28"/>
        </w:rPr>
        <w:t>IL SUOLO</w:t>
      </w:r>
    </w:p>
    <w:p w:rsidR="006C4984" w:rsidRDefault="006C4984" w:rsidP="006C4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984" w:rsidRPr="006C4984" w:rsidRDefault="006C4984" w:rsidP="006C4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984" w:rsidRDefault="0074732C" w:rsidP="006C4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6C4984" w:rsidRPr="0074732C">
        <w:rPr>
          <w:rFonts w:ascii="Times New Roman" w:hAnsi="Times New Roman" w:cs="Times New Roman"/>
          <w:b/>
          <w:sz w:val="24"/>
          <w:szCs w:val="24"/>
        </w:rPr>
        <w:t>La destinazione d’uso</w:t>
      </w:r>
    </w:p>
    <w:p w:rsidR="006C4984" w:rsidRDefault="006C4984" w:rsidP="006C4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984" w:rsidRDefault="006C4984" w:rsidP="006C4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il termine “destinazione d’uso” si intende la vocazione cui </w:t>
      </w:r>
      <w:r w:rsidR="00A87B6A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votata ogni porzione di territorio. Ogni ambito comunale è suddiviso in differenti destinazioni di cui la gamma completa di quelle possibili è </w:t>
      </w:r>
      <w:r w:rsidR="00A87B6A">
        <w:rPr>
          <w:rFonts w:ascii="Times New Roman" w:hAnsi="Times New Roman" w:cs="Times New Roman"/>
          <w:sz w:val="24"/>
          <w:szCs w:val="24"/>
        </w:rPr>
        <w:t>rappresentata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B6A">
        <w:rPr>
          <w:rFonts w:ascii="Times New Roman" w:hAnsi="Times New Roman" w:cs="Times New Roman"/>
          <w:sz w:val="24"/>
          <w:szCs w:val="24"/>
        </w:rPr>
        <w:t>nella</w:t>
      </w:r>
      <w:r>
        <w:rPr>
          <w:rFonts w:ascii="Times New Roman" w:hAnsi="Times New Roman" w:cs="Times New Roman"/>
          <w:sz w:val="24"/>
          <w:szCs w:val="24"/>
        </w:rPr>
        <w:t xml:space="preserve"> legenda</w:t>
      </w:r>
      <w:r w:rsidR="0074732C">
        <w:rPr>
          <w:rFonts w:ascii="Times New Roman" w:hAnsi="Times New Roman" w:cs="Times New Roman"/>
          <w:sz w:val="24"/>
          <w:szCs w:val="24"/>
        </w:rPr>
        <w:t xml:space="preserve"> della Carta della Copertura del Suolo. Se ne riporta i contenuti.</w:t>
      </w:r>
    </w:p>
    <w:p w:rsidR="0074732C" w:rsidRDefault="0074732C" w:rsidP="006C4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984" w:rsidRDefault="006C4984" w:rsidP="007473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4015740" cy="4061460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7B6" w:rsidRDefault="003337B6" w:rsidP="007473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831" w:rsidRDefault="00A87B6A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mappa affiancata è chiamata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 Cover: </w:t>
      </w:r>
      <w:r w:rsidR="00EE3831" w:rsidRPr="00EE3831">
        <w:rPr>
          <w:rFonts w:ascii="Times New Roman" w:hAnsi="Times New Roman" w:cs="Times New Roman"/>
          <w:sz w:val="24"/>
          <w:szCs w:val="24"/>
        </w:rPr>
        <w:t xml:space="preserve">Il progetto </w:t>
      </w:r>
      <w:proofErr w:type="spellStart"/>
      <w:r w:rsidR="00EE3831" w:rsidRPr="00EE3831">
        <w:rPr>
          <w:rStyle w:val="highlightedsearchterm"/>
          <w:rFonts w:ascii="Times New Roman" w:hAnsi="Times New Roman" w:cs="Times New Roman"/>
          <w:sz w:val="24"/>
          <w:szCs w:val="24"/>
        </w:rPr>
        <w:t>Corine</w:t>
      </w:r>
      <w:proofErr w:type="spellEnd"/>
      <w:r w:rsidR="00EE3831" w:rsidRPr="00EE3831">
        <w:rPr>
          <w:rFonts w:ascii="Times New Roman" w:hAnsi="Times New Roman" w:cs="Times New Roman"/>
          <w:sz w:val="24"/>
          <w:szCs w:val="24"/>
        </w:rPr>
        <w:t xml:space="preserve"> Land Cover (CLC)</w:t>
      </w:r>
      <w:r w:rsidR="00285D53">
        <w:rPr>
          <w:rFonts w:ascii="Times New Roman" w:hAnsi="Times New Roman" w:cs="Times New Roman"/>
          <w:sz w:val="24"/>
          <w:szCs w:val="24"/>
        </w:rPr>
        <w:t xml:space="preserve"> (CORINE</w:t>
      </w:r>
      <w:r w:rsidR="00285D53" w:rsidRPr="00285D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5D53" w:rsidRPr="00285D53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="00285D53" w:rsidRPr="00285D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85D53" w:rsidRPr="00285D5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285D53" w:rsidRPr="00285D53">
        <w:rPr>
          <w:rFonts w:ascii="Times New Roman" w:hAnsi="Times New Roman" w:cs="Times New Roman"/>
          <w:sz w:val="24"/>
          <w:szCs w:val="24"/>
        </w:rPr>
        <w:t xml:space="preserve"> on the Environment)</w:t>
      </w:r>
      <w:r w:rsidR="00EE3831" w:rsidRPr="00EE3831">
        <w:rPr>
          <w:rFonts w:ascii="Times New Roman" w:hAnsi="Times New Roman" w:cs="Times New Roman"/>
          <w:sz w:val="24"/>
          <w:szCs w:val="24"/>
        </w:rPr>
        <w:t xml:space="preserve"> è nato a livello europeo specificamente per il rilevamento e il monitoraggio delle caratteristiche di copertura e uso del territorio, con particolare attenzione alle esigenze di tutela ambientale.</w:t>
      </w:r>
    </w:p>
    <w:p w:rsidR="00A87B6A" w:rsidRDefault="00A87B6A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D53" w:rsidRDefault="00285D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questo punto della Relazione</w:t>
      </w:r>
      <w:r w:rsidR="00A87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ogni studente è sicuramente a conoscenza della distribuzione delle diverse tipologie d’uso sul proprio territorio comunale (ripresa a diversa scala anche dalla Regione e dalla Provincia). Solo in pochi casi si conoscono le estensioni ef</w:t>
      </w:r>
      <w:r w:rsidR="00A87B6A">
        <w:rPr>
          <w:rFonts w:ascii="Times New Roman" w:hAnsi="Times New Roman" w:cs="Times New Roman"/>
          <w:sz w:val="24"/>
          <w:szCs w:val="24"/>
        </w:rPr>
        <w:t xml:space="preserve">fettive di ogni </w:t>
      </w:r>
      <w:r w:rsidR="00455FCA">
        <w:rPr>
          <w:rFonts w:ascii="Times New Roman" w:hAnsi="Times New Roman" w:cs="Times New Roman"/>
          <w:sz w:val="24"/>
          <w:szCs w:val="24"/>
        </w:rPr>
        <w:t>tipo di attività</w:t>
      </w:r>
      <w:r w:rsidR="00A87B6A">
        <w:rPr>
          <w:rFonts w:ascii="Times New Roman" w:hAnsi="Times New Roman" w:cs="Times New Roman"/>
          <w:sz w:val="24"/>
          <w:szCs w:val="24"/>
        </w:rPr>
        <w:t>, essendo que</w:t>
      </w:r>
      <w:r>
        <w:rPr>
          <w:rFonts w:ascii="Times New Roman" w:hAnsi="Times New Roman" w:cs="Times New Roman"/>
          <w:sz w:val="24"/>
          <w:szCs w:val="24"/>
        </w:rPr>
        <w:t>sto un dato mutevole nel tempo e difficilmente aggiornabile.</w:t>
      </w:r>
    </w:p>
    <w:p w:rsidR="00285D53" w:rsidRDefault="001830F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Relazione, </w:t>
      </w:r>
      <w:r w:rsidR="00A51A48">
        <w:rPr>
          <w:rFonts w:ascii="Times New Roman" w:hAnsi="Times New Roman" w:cs="Times New Roman"/>
          <w:sz w:val="24"/>
          <w:szCs w:val="24"/>
        </w:rPr>
        <w:t xml:space="preserve">si deve </w:t>
      </w:r>
      <w:r>
        <w:rPr>
          <w:rFonts w:ascii="Times New Roman" w:hAnsi="Times New Roman" w:cs="Times New Roman"/>
          <w:sz w:val="24"/>
          <w:szCs w:val="24"/>
        </w:rPr>
        <w:t xml:space="preserve">riprendere in maniera sintetica la descrizione del proprio territorio, facendo riferimento alla legenda riportata in questa pagina: si trattano solo </w:t>
      </w:r>
      <w:r w:rsidR="00A87B6A">
        <w:rPr>
          <w:rFonts w:ascii="Times New Roman" w:hAnsi="Times New Roman" w:cs="Times New Roman"/>
          <w:sz w:val="24"/>
          <w:szCs w:val="24"/>
        </w:rPr>
        <w:t xml:space="preserve">ovviamente </w:t>
      </w:r>
      <w:r w:rsidR="00A51A48">
        <w:rPr>
          <w:rFonts w:ascii="Times New Roman" w:hAnsi="Times New Roman" w:cs="Times New Roman"/>
          <w:sz w:val="24"/>
          <w:szCs w:val="24"/>
        </w:rPr>
        <w:t>le tipologie presenti</w:t>
      </w:r>
      <w:r>
        <w:rPr>
          <w:rFonts w:ascii="Times New Roman" w:hAnsi="Times New Roman" w:cs="Times New Roman"/>
          <w:sz w:val="24"/>
          <w:szCs w:val="24"/>
        </w:rPr>
        <w:t>, specificando orientativamente la loro localizzazione (ad es.: a Nord del centro abitato … eccetera).</w:t>
      </w:r>
    </w:p>
    <w:p w:rsidR="001830F3" w:rsidRDefault="003430DE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 tipologie di destinazione d’uso per le quali esiste il dato della loro estensione a livello comunale sono due:</w:t>
      </w:r>
    </w:p>
    <w:p w:rsidR="003430DE" w:rsidRDefault="003430DE" w:rsidP="003430D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0DE">
        <w:rPr>
          <w:rFonts w:ascii="Times New Roman" w:hAnsi="Times New Roman" w:cs="Times New Roman"/>
          <w:b/>
          <w:i/>
          <w:sz w:val="24"/>
          <w:szCs w:val="24"/>
        </w:rPr>
        <w:t>Superficie urbanizzata</w:t>
      </w:r>
      <w:r>
        <w:rPr>
          <w:rFonts w:ascii="Times New Roman" w:hAnsi="Times New Roman" w:cs="Times New Roman"/>
          <w:sz w:val="24"/>
          <w:szCs w:val="24"/>
        </w:rPr>
        <w:t>. Questo dato ci è già noto in quanto, ai fini della stima della superficie a verde del territorio comunale, lo abbiamo usato per calcolare, facendo la differenza con la superficie totale del comune, la superficie non urbanizzata. Qui andiamo ad esplicitare meglio il dato:</w:t>
      </w:r>
    </w:p>
    <w:p w:rsidR="00A87B6A" w:rsidRDefault="003430DE" w:rsidP="003430DE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sito</w:t>
      </w:r>
    </w:p>
    <w:p w:rsidR="00A87B6A" w:rsidRDefault="00EF297B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430DE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http://www.ptrc.it/ita/pianificazione-</w:t>
        </w:r>
        <w:r w:rsidR="003430DE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t</w:t>
        </w:r>
        <w:r w:rsidR="003430DE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erritoriale-veneto-ptrc-adottato.php</w:t>
        </w:r>
      </w:hyperlink>
    </w:p>
    <w:p w:rsidR="00CA4739" w:rsidRDefault="003430DE" w:rsidP="00CA4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entra nel Quadro Conoscitivo e si accede al </w:t>
      </w:r>
      <w:r w:rsidR="00CA4739">
        <w:rPr>
          <w:rFonts w:ascii="Times New Roman" w:hAnsi="Times New Roman" w:cs="Times New Roman"/>
          <w:sz w:val="24"/>
          <w:szCs w:val="24"/>
        </w:rPr>
        <w:t xml:space="preserve">Tema 2 – Tutelare e accrescere la biodiversità; quindi all’Obiettivo 4 – Perseguire una maggiore sostenibilità degli insediamenti; si apre il file di Excel sulla destra, nella stessa riga, dell’indice </w:t>
      </w:r>
      <w:r w:rsidR="00CA4739" w:rsidRPr="008E4578">
        <w:rPr>
          <w:rFonts w:ascii="Times New Roman" w:hAnsi="Times New Roman" w:cs="Times New Roman"/>
          <w:i/>
          <w:sz w:val="24"/>
          <w:szCs w:val="24"/>
        </w:rPr>
        <w:t>Percentuale di superficie urbanizzata sulla superficie comunale</w:t>
      </w:r>
      <w:r w:rsidR="00CA4739">
        <w:rPr>
          <w:rFonts w:ascii="Times New Roman" w:hAnsi="Times New Roman" w:cs="Times New Roman"/>
          <w:sz w:val="24"/>
          <w:szCs w:val="24"/>
        </w:rPr>
        <w:t>.</w:t>
      </w:r>
    </w:p>
    <w:p w:rsidR="00CA4739" w:rsidRDefault="00CA4739" w:rsidP="00CA4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file in Excel presenta l’elenco di tutti i comuni del Veneto e nell’ultima colonna a destra riporta la percentuale di superficie urbanizzata.</w:t>
      </w:r>
    </w:p>
    <w:p w:rsidR="003430DE" w:rsidRDefault="00A51A48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procede anche al</w:t>
      </w:r>
      <w:r w:rsidR="00C77529">
        <w:rPr>
          <w:rFonts w:ascii="Times New Roman" w:hAnsi="Times New Roman" w:cs="Times New Roman"/>
          <w:sz w:val="24"/>
          <w:szCs w:val="24"/>
        </w:rPr>
        <w:t xml:space="preserve"> calcolo della superficie media dei comuni della provincia (da calcolare) e lo si confronta con quello del comune.</w:t>
      </w:r>
    </w:p>
    <w:p w:rsidR="00C77529" w:rsidRDefault="00C77529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C77529" w:rsidRPr="00171331" w:rsidTr="00797863">
        <w:tc>
          <w:tcPr>
            <w:tcW w:w="687" w:type="dxa"/>
          </w:tcPr>
          <w:p w:rsidR="00C77529" w:rsidRPr="00171331" w:rsidRDefault="00C77529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C77529" w:rsidRPr="00171331" w:rsidRDefault="00C77529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C77529" w:rsidTr="00797863">
        <w:tc>
          <w:tcPr>
            <w:tcW w:w="687" w:type="dxa"/>
          </w:tcPr>
          <w:p w:rsidR="00C77529" w:rsidRDefault="00C77529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C77529" w:rsidRDefault="00C77529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="00CA4739">
              <w:rPr>
                <w:rFonts w:ascii="Times New Roman" w:hAnsi="Times New Roman" w:cs="Times New Roman"/>
                <w:sz w:val="18"/>
                <w:szCs w:val="18"/>
              </w:rPr>
              <w:t xml:space="preserve"> percentuale 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superficie urbanizzata del comune è </w:t>
            </w:r>
            <w:r w:rsidRPr="00C77529">
              <w:rPr>
                <w:rFonts w:ascii="Times New Roman" w:hAnsi="Times New Roman" w:cs="Times New Roman"/>
                <w:b/>
                <w:sz w:val="18"/>
                <w:szCs w:val="18"/>
              </w:rPr>
              <w:t>inferiore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quella media dei comuni della Provincia</w:t>
            </w:r>
          </w:p>
        </w:tc>
      </w:tr>
      <w:tr w:rsidR="00C77529" w:rsidTr="00797863">
        <w:tc>
          <w:tcPr>
            <w:tcW w:w="687" w:type="dxa"/>
          </w:tcPr>
          <w:p w:rsidR="00C77529" w:rsidRPr="00171331" w:rsidRDefault="00C77529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C77529" w:rsidRPr="00171331" w:rsidRDefault="00C77529" w:rsidP="00C775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="00CA4739">
              <w:rPr>
                <w:rFonts w:ascii="Times New Roman" w:hAnsi="Times New Roman" w:cs="Times New Roman"/>
                <w:sz w:val="18"/>
                <w:szCs w:val="18"/>
              </w:rPr>
              <w:t xml:space="preserve"> percentuale 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superficie urbanizzata del comune è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superiore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quella media dei comuni della Provincia</w:t>
            </w:r>
          </w:p>
        </w:tc>
      </w:tr>
    </w:tbl>
    <w:p w:rsidR="00C77529" w:rsidRDefault="00C77529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0F3" w:rsidRDefault="00C77529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questo modo si favoriscono i comuni meno edificati e cioè col minor sfruttamento di suolo.</w:t>
      </w:r>
    </w:p>
    <w:p w:rsidR="00C77529" w:rsidRDefault="00C77529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7529" w:rsidRDefault="00C77529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seconda tipologia d’uso disponibile per ogni comune è:</w:t>
      </w:r>
    </w:p>
    <w:p w:rsidR="00C77529" w:rsidRDefault="00C77529" w:rsidP="00C7752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529">
        <w:rPr>
          <w:rFonts w:ascii="Times New Roman" w:hAnsi="Times New Roman" w:cs="Times New Roman"/>
          <w:b/>
          <w:i/>
          <w:sz w:val="24"/>
          <w:szCs w:val="24"/>
        </w:rPr>
        <w:t>Superficie agricola</w:t>
      </w:r>
      <w:r>
        <w:rPr>
          <w:rFonts w:ascii="Times New Roman" w:hAnsi="Times New Roman" w:cs="Times New Roman"/>
          <w:sz w:val="24"/>
          <w:szCs w:val="24"/>
        </w:rPr>
        <w:t>. Contrariamente all’informazione precedente, questa rappresenta un indicatore di non sfruttamento urbanistico del territorio e rispecchia indirettamente la qualità della vita in quell’ambito. Ricordiamo che è in questa superficie dove si può realizzare e valorizzare la Rete Ecologica, attraverso la diffusione di siepi ed alberature.</w:t>
      </w:r>
    </w:p>
    <w:p w:rsidR="00473304" w:rsidRPr="00473304" w:rsidRDefault="00473304" w:rsidP="004733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questa relazione si vuole conoscere e valutare la superficie agricola indipendentemente dalla sua capacità produttiva e quindi si considera la SAT e cioè la superficie agricola totale; sappiamo che per SAT si intende sia le aree non utilizzate sia quelle effettivamente coltivate</w:t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questo punto è utile imparare a consultare il sito dell’ISTAT relativo al censimento dell’agricoltura ed in particolare all’ultimo del </w:t>
      </w:r>
      <w:r w:rsidRPr="00973F3B">
        <w:rPr>
          <w:rFonts w:ascii="Times New Roman" w:hAnsi="Times New Roman" w:cs="Times New Roman"/>
          <w:b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di tutto si accede a</w:t>
      </w:r>
    </w:p>
    <w:p w:rsidR="00973F3B" w:rsidRDefault="00973F3B" w:rsidP="00973F3B">
      <w:pPr>
        <w:pStyle w:val="Paragrafoelenc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3F3B">
        <w:rPr>
          <w:rFonts w:ascii="Times New Roman" w:hAnsi="Times New Roman" w:cs="Times New Roman"/>
          <w:sz w:val="24"/>
          <w:szCs w:val="24"/>
        </w:rPr>
        <w:t>http://dati-censimentoagricoltura.istat.it/</w:t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dato di Superficie agricola totale lo si ritrova in quasi tutti i set di indicatori riportati e quindi, per non disperdere l’attenzione nei meandri di questo sito ricchissimo, iniziamo a osservare i due pacchetti di indicatori riportati sulla prima colonna di sinistra:</w:t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86C5764" wp14:editId="6761FA40">
            <wp:extent cx="2533650" cy="1104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E’ noto che quando si vede il segno più (+) sulla sinistra di una voce, questo significa che essa può essere espansa in ulteriori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sottovoci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infatti se si attiva il segno “+” della prima voce, appare:</w:t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79252E04" wp14:editId="4AD11A09">
            <wp:extent cx="2486025" cy="16954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apre la prima voce “Struttura delle aziende agricole” e quindi la prima della lista successiva denominata “Caratteristiche delle aziende”</w:t>
      </w:r>
    </w:p>
    <w:p w:rsidR="00973F3B" w:rsidRDefault="00973F3B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questo punto è evidente una lista consistente di voci; si accede alla quattordicesima denominata </w:t>
      </w:r>
    </w:p>
    <w:p w:rsidR="00973F3B" w:rsidRDefault="00DF0E1C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010DD1B" wp14:editId="6A7E00F7">
            <wp:extent cx="1781175" cy="2571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F3B" w:rsidRDefault="00DF0E1C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 qualche secondo di attesa, appare la prima pagina riportante una tabella le cui prime 12 righe sono colorate in rosso scuro.</w:t>
      </w:r>
    </w:p>
    <w:p w:rsidR="00973F3B" w:rsidRDefault="00DF0E1C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prima operazione consiste nello scegliere, nella prima riga rossa, in “Tipo di dato” la “superficie totale – ettari”, voce che è selezionabile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tendina.</w:t>
      </w:r>
    </w:p>
    <w:p w:rsidR="00DF0E1C" w:rsidRDefault="00DF0E1C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attende ancora qualche secondo e si può quindi osservare la prima serie di dati proposti dall’ISTAT, riferiti alla Provincia di Torino.</w:t>
      </w:r>
    </w:p>
    <w:p w:rsidR="00DF0E1C" w:rsidRDefault="00DF0E1C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testa alle righe di colore rosso è riportato il numero delle pagine riservate a questi dati; in questo caso esse sono 40. I dati del Trentino e del Veneto sono riportati da pagina 16 a pagina 20. Selezionando di volta in volta la pagina, si può trovare il Comune oggetto della Relazione.</w:t>
      </w:r>
    </w:p>
    <w:p w:rsidR="00DF0E1C" w:rsidRDefault="00DF0E1C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B5A7B66" wp14:editId="33BD3533">
            <wp:extent cx="5800725" cy="4953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E1C" w:rsidRDefault="00DF0E1C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Nell’ultima colonna di destra è riportata la superficie totale a livello comunale.</w:t>
      </w:r>
    </w:p>
    <w:p w:rsidR="00DF0E1C" w:rsidRPr="00DF0E1C" w:rsidRDefault="00DF0E1C" w:rsidP="00C77529">
      <w:pPr>
        <w:pStyle w:val="Paragrafoelenco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E1C">
        <w:rPr>
          <w:rFonts w:ascii="Times New Roman" w:hAnsi="Times New Roman" w:cs="Times New Roman"/>
          <w:b/>
          <w:sz w:val="24"/>
          <w:szCs w:val="24"/>
        </w:rPr>
        <w:t>Di questa bisogna calcolare la percentuale rispetto al totale complessivo del comune</w:t>
      </w:r>
    </w:p>
    <w:p w:rsidR="00DD3040" w:rsidRDefault="00DD3040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Ancora una volta questa percentuale la si confronta con il valore </w:t>
      </w:r>
      <w:r w:rsidR="00AD5520">
        <w:rPr>
          <w:rFonts w:ascii="Times New Roman" w:hAnsi="Times New Roman" w:cs="Times New Roman"/>
          <w:sz w:val="24"/>
          <w:szCs w:val="24"/>
        </w:rPr>
        <w:t>in percentuale del totale provinciale. Il calcolo di questo dato non è immediato. Bisogna calcolare il totale dei dati dell’ultima colonna a destra di tutti i comuni della Provincia e riportare il dato in percentuale rispetto alla superficie totale provinciale. Ma come si procede?</w:t>
      </w:r>
    </w:p>
    <w:p w:rsidR="00AD5520" w:rsidRDefault="00AD5520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Allora vediamo quali dovrebbero essere gli strumenti a disposizione:</w:t>
      </w:r>
    </w:p>
    <w:p w:rsidR="00AD5520" w:rsidRDefault="00AD5520" w:rsidP="00AD552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alto a sinistra della pagina dell’ISTAT appare il simbolo Excel, che fa intendere la possibilità di esportare i dati in questo formato, e questa sarebbe la soluzione ideale. Purtroppo la funzione non sembra funzionare (provare per verificare)</w:t>
      </w:r>
    </w:p>
    <w:p w:rsidR="00AD5520" w:rsidRDefault="00AD5520" w:rsidP="00AD552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Un'altra soluzione è l’importazione da Excel dei dati e questa funzione è già stata richiamata precedentemente: da Excel si</w:t>
      </w:r>
      <w:r w:rsidR="002A5A96">
        <w:rPr>
          <w:rFonts w:ascii="Times New Roman" w:hAnsi="Times New Roman" w:cs="Times New Roman"/>
          <w:sz w:val="24"/>
          <w:szCs w:val="24"/>
        </w:rPr>
        <w:t xml:space="preserve"> seleziona la finestra “DATI” e si clicca sulla sinistra “Da Web” e si seguono le istruzioni; purtroppo Excel riesce a percorrere tutte le tappe eccetto l’ultima che consiste appunto nella visione del dato cercato (provare per verificare)</w:t>
      </w:r>
    </w:p>
    <w:p w:rsidR="002A5A96" w:rsidRDefault="002A5A96" w:rsidP="00AD552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L’ultima soluzione è quella che funziona sempre, anche se è la meno tecnologica: Si seleziona cioè la porzione della tabella dell’ISTAT e la si ricopia in un foglio Excel. Bisogna prestare attenzione al fatto che spesso una provincia ricade in due pagine successive della videata Internet dell’ISTAT.</w:t>
      </w:r>
    </w:p>
    <w:p w:rsidR="002A5A96" w:rsidRPr="002A5A96" w:rsidRDefault="002A5A96" w:rsidP="002A5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040" w:rsidRDefault="00DD3040" w:rsidP="00DD3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procede nuovamente con la ponderazione: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DD3040" w:rsidRPr="00171331" w:rsidTr="00797863">
        <w:tc>
          <w:tcPr>
            <w:tcW w:w="687" w:type="dxa"/>
          </w:tcPr>
          <w:p w:rsidR="00DD3040" w:rsidRPr="00171331" w:rsidRDefault="00DD3040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DD3040" w:rsidRPr="00171331" w:rsidRDefault="00DD3040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DD3040" w:rsidTr="00797863">
        <w:tc>
          <w:tcPr>
            <w:tcW w:w="687" w:type="dxa"/>
          </w:tcPr>
          <w:p w:rsidR="00DD3040" w:rsidRDefault="00DD3040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DD3040" w:rsidRDefault="00DD3040" w:rsidP="00DD30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 superficie agricola del comune è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superiore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quella media dei comuni della Provincia</w:t>
            </w:r>
          </w:p>
        </w:tc>
      </w:tr>
      <w:tr w:rsidR="00DD3040" w:rsidTr="00797863">
        <w:tc>
          <w:tcPr>
            <w:tcW w:w="687" w:type="dxa"/>
          </w:tcPr>
          <w:p w:rsidR="00DD3040" w:rsidRPr="00171331" w:rsidRDefault="00DD3040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DD3040" w:rsidRPr="00171331" w:rsidRDefault="00DD3040" w:rsidP="00DD30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 superficie agricola del comune è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inferiore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quella media dei comuni della Provincia</w:t>
            </w:r>
          </w:p>
        </w:tc>
      </w:tr>
    </w:tbl>
    <w:p w:rsidR="00DD3040" w:rsidRPr="00DD3040" w:rsidRDefault="00DD3040" w:rsidP="00DD3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040" w:rsidRPr="00C77529" w:rsidRDefault="00DD3040" w:rsidP="00C77529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28C" w:rsidRDefault="008B128C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28C" w:rsidRDefault="008B128C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28C" w:rsidRPr="008B128C" w:rsidRDefault="008B128C" w:rsidP="00EE38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8B128C">
        <w:rPr>
          <w:rFonts w:ascii="Times New Roman" w:hAnsi="Times New Roman" w:cs="Times New Roman"/>
          <w:b/>
          <w:sz w:val="24"/>
          <w:szCs w:val="24"/>
        </w:rPr>
        <w:t>La qualità del suolo</w:t>
      </w:r>
    </w:p>
    <w:p w:rsidR="008B128C" w:rsidRDefault="008B128C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28C" w:rsidRDefault="008B128C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questo paragrafo non si entra in merito alla qualità di suolo intesa come tipologia o elementi nutritivi presenti: la conoscenza di queste informazioni è troppo laboriosa e i dati sono disponibili solo per alcuni ambiti territoriale (la Provincia di Treviso ha pubblicato di recente una</w:t>
      </w:r>
      <w:r w:rsidR="00EA0D2E">
        <w:rPr>
          <w:rFonts w:ascii="Times New Roman" w:hAnsi="Times New Roman" w:cs="Times New Roman"/>
          <w:sz w:val="24"/>
          <w:szCs w:val="24"/>
        </w:rPr>
        <w:t xml:space="preserve"> approfondita Carta del Suolo molto approfondita ed interessante).</w:t>
      </w:r>
    </w:p>
    <w:p w:rsidR="00EA0D2E" w:rsidRDefault="00EA0D2E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D2E" w:rsidRDefault="00EA0D2E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della Relazione si andrà a considerare i fenomeni che hanno alterato le caratteristiche dei suoli in maniera incisiva ed evidente.</w:t>
      </w:r>
    </w:p>
    <w:p w:rsidR="00EA0D2E" w:rsidRDefault="00EA0D2E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28C" w:rsidRDefault="00EA0D2E" w:rsidP="00EE383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D2E">
        <w:rPr>
          <w:rFonts w:ascii="Times New Roman" w:hAnsi="Times New Roman" w:cs="Times New Roman"/>
          <w:b/>
          <w:i/>
          <w:sz w:val="24"/>
          <w:szCs w:val="24"/>
        </w:rPr>
        <w:t>Attività estrattiva</w:t>
      </w:r>
      <w:r w:rsidRPr="00EA0D2E">
        <w:rPr>
          <w:rFonts w:ascii="Times New Roman" w:hAnsi="Times New Roman" w:cs="Times New Roman"/>
          <w:sz w:val="24"/>
          <w:szCs w:val="24"/>
        </w:rPr>
        <w:t>: La Regione Veneto nel 2008 ha proceduto all’aggiornamento del PRAC: Piano Regionale dell’attività di Cava, reperibile nel sito:</w:t>
      </w:r>
    </w:p>
    <w:p w:rsidR="00EA0D2E" w:rsidRPr="00EA0D2E" w:rsidRDefault="00EA0D2E" w:rsidP="00EA0D2E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28C" w:rsidRDefault="008B128C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28C">
        <w:rPr>
          <w:rFonts w:ascii="Times New Roman" w:hAnsi="Times New Roman" w:cs="Times New Roman"/>
          <w:sz w:val="24"/>
          <w:szCs w:val="24"/>
        </w:rPr>
        <w:t>http://repository.regione.veneto.it/UCI/Piano%20cave/C-CensimentoCave.pdf</w:t>
      </w:r>
    </w:p>
    <w:p w:rsidR="008B128C" w:rsidRDefault="008B128C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D2E" w:rsidRDefault="00EA0D2E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gramStart"/>
      <w:r>
        <w:rPr>
          <w:rFonts w:ascii="Times New Roman" w:hAnsi="Times New Roman" w:cs="Times New Roman"/>
          <w:sz w:val="24"/>
          <w:szCs w:val="24"/>
        </w:rPr>
        <w:t>Piano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ogni Provincia e comune interessato, elenca sia le Cave in Essere di Sabbia e Ghiaia sia le Cave Dismesse.</w:t>
      </w:r>
      <w:r w:rsidR="00CA302D">
        <w:rPr>
          <w:rFonts w:ascii="Times New Roman" w:hAnsi="Times New Roman" w:cs="Times New Roman"/>
          <w:sz w:val="24"/>
          <w:szCs w:val="24"/>
        </w:rPr>
        <w:t xml:space="preserve"> Ai fini della ponderazione si considerano solo le CAVE in ESSERE.</w:t>
      </w:r>
    </w:p>
    <w:p w:rsidR="00CA302D" w:rsidRDefault="00CA302D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CA302D" w:rsidRPr="00171331" w:rsidTr="00797863">
        <w:tc>
          <w:tcPr>
            <w:tcW w:w="687" w:type="dxa"/>
          </w:tcPr>
          <w:p w:rsidR="00CA302D" w:rsidRPr="00171331" w:rsidRDefault="00CA302D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CA302D" w:rsidRPr="00171331" w:rsidRDefault="00CA302D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CA302D" w:rsidTr="00797863">
        <w:tc>
          <w:tcPr>
            <w:tcW w:w="687" w:type="dxa"/>
          </w:tcPr>
          <w:p w:rsidR="00CA302D" w:rsidRDefault="00CA302D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CA302D" w:rsidRDefault="00CA302D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NON esistono Cave in Essere</w:t>
            </w:r>
          </w:p>
        </w:tc>
      </w:tr>
      <w:tr w:rsidR="00CA302D" w:rsidTr="00797863">
        <w:tc>
          <w:tcPr>
            <w:tcW w:w="687" w:type="dxa"/>
          </w:tcPr>
          <w:p w:rsidR="00CA302D" w:rsidRPr="00171331" w:rsidRDefault="00CA302D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CA302D" w:rsidRPr="00171331" w:rsidRDefault="00CA302D" w:rsidP="00CA30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esistono Cave in Essere</w:t>
            </w:r>
          </w:p>
        </w:tc>
      </w:tr>
    </w:tbl>
    <w:p w:rsidR="00EA0D2E" w:rsidRDefault="00EA0D2E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D2E" w:rsidRDefault="0029428D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Naturalmente</w:t>
      </w:r>
      <w:r w:rsidR="00A51A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ai fini ambientali, la presenza di attività di cava non è da considerarsi positiva, sia per l’importante alterazione dell’assetto naturale del suolo sia per le attività collaterali che spesso rendono invivibile il territorio nell’intorno (rumore, polveri, veicoli pesanti presenti nella v</w:t>
      </w:r>
      <w:r w:rsidR="008B2DFF">
        <w:rPr>
          <w:rFonts w:ascii="Times New Roman" w:hAnsi="Times New Roman" w:cs="Times New Roman"/>
          <w:sz w:val="24"/>
          <w:szCs w:val="24"/>
        </w:rPr>
        <w:t>iabil</w:t>
      </w:r>
      <w:r w:rsidR="00A51A48">
        <w:rPr>
          <w:rFonts w:ascii="Times New Roman" w:hAnsi="Times New Roman" w:cs="Times New Roman"/>
          <w:sz w:val="24"/>
          <w:szCs w:val="24"/>
        </w:rPr>
        <w:t>ità, ecc). Con questo non si vuole escludere l’importante valore economica dell’attività estrattiva, che comunque esula dagli intenti della tutela ambientale.</w:t>
      </w:r>
    </w:p>
    <w:p w:rsidR="008B2DFF" w:rsidRDefault="008B2DFF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2DFF" w:rsidRDefault="008B2DFF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presenza di cave verrà ripresa anche nel suc</w:t>
      </w:r>
      <w:r w:rsidR="00807653">
        <w:rPr>
          <w:rFonts w:ascii="Times New Roman" w:hAnsi="Times New Roman" w:cs="Times New Roman"/>
          <w:sz w:val="24"/>
          <w:szCs w:val="24"/>
        </w:rPr>
        <w:t>cessivo capitolo relativo al Pae</w:t>
      </w:r>
      <w:r>
        <w:rPr>
          <w:rFonts w:ascii="Times New Roman" w:hAnsi="Times New Roman" w:cs="Times New Roman"/>
          <w:sz w:val="24"/>
          <w:szCs w:val="24"/>
        </w:rPr>
        <w:t>saggio.</w:t>
      </w:r>
    </w:p>
    <w:p w:rsidR="008B2DFF" w:rsidRDefault="008076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quanto riguarda l’eventuale </w:t>
      </w:r>
      <w:r w:rsidR="002A5A96">
        <w:rPr>
          <w:rFonts w:ascii="Times New Roman" w:hAnsi="Times New Roman" w:cs="Times New Roman"/>
          <w:sz w:val="24"/>
          <w:szCs w:val="24"/>
        </w:rPr>
        <w:t>esistenza nel comune</w:t>
      </w:r>
      <w:r>
        <w:rPr>
          <w:rFonts w:ascii="Times New Roman" w:hAnsi="Times New Roman" w:cs="Times New Roman"/>
          <w:sz w:val="24"/>
          <w:szCs w:val="24"/>
        </w:rPr>
        <w:t xml:space="preserve"> di Cave Dismesse è importante riportare questa informazione</w:t>
      </w:r>
      <w:r w:rsidR="00A51A48">
        <w:rPr>
          <w:rFonts w:ascii="Times New Roman" w:hAnsi="Times New Roman" w:cs="Times New Roman"/>
          <w:sz w:val="24"/>
          <w:szCs w:val="24"/>
        </w:rPr>
        <w:t xml:space="preserve"> nella Relazione,</w:t>
      </w:r>
      <w:r>
        <w:rPr>
          <w:rFonts w:ascii="Times New Roman" w:hAnsi="Times New Roman" w:cs="Times New Roman"/>
          <w:sz w:val="24"/>
          <w:szCs w:val="24"/>
        </w:rPr>
        <w:t xml:space="preserve"> soprattutto per sottolineare i criteri del loro recupero.</w:t>
      </w:r>
    </w:p>
    <w:p w:rsidR="00807653" w:rsidRDefault="008076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653" w:rsidRDefault="008076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2DFF" w:rsidRPr="001C2717" w:rsidRDefault="008B2DFF" w:rsidP="008B2DF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15">
        <w:rPr>
          <w:rFonts w:ascii="Times New Roman" w:hAnsi="Times New Roman" w:cs="Times New Roman"/>
          <w:b/>
          <w:i/>
          <w:sz w:val="24"/>
          <w:szCs w:val="24"/>
        </w:rPr>
        <w:lastRenderedPageBreak/>
        <w:t>Siti inquinati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7653">
        <w:rPr>
          <w:rFonts w:ascii="Times New Roman" w:hAnsi="Times New Roman" w:cs="Times New Roman"/>
          <w:sz w:val="24"/>
          <w:szCs w:val="24"/>
        </w:rPr>
        <w:t xml:space="preserve"> </w:t>
      </w:r>
      <w:r w:rsidR="004B0B15">
        <w:rPr>
          <w:rFonts w:ascii="Times New Roman" w:hAnsi="Times New Roman" w:cs="Times New Roman"/>
          <w:sz w:val="24"/>
          <w:szCs w:val="24"/>
        </w:rPr>
        <w:t xml:space="preserve">Solo pochi ambiti amministrativi hanno attivato il “Censimento dei siti contaminati” </w:t>
      </w:r>
      <w:r w:rsidR="00C3683A">
        <w:rPr>
          <w:rFonts w:ascii="Times New Roman" w:hAnsi="Times New Roman" w:cs="Times New Roman"/>
          <w:sz w:val="24"/>
          <w:szCs w:val="24"/>
        </w:rPr>
        <w:t xml:space="preserve">che è una informazione fondamentale da diffondere presso la cittadinanza; la Legislazione sia nazionale sia quella regionale ne prescrive l’individuazione e i criteri di intervento. </w:t>
      </w:r>
      <w:r w:rsidR="00C3683A" w:rsidRPr="001C2717">
        <w:rPr>
          <w:rFonts w:ascii="Times New Roman" w:hAnsi="Times New Roman" w:cs="Times New Roman"/>
          <w:b/>
          <w:sz w:val="24"/>
          <w:szCs w:val="24"/>
        </w:rPr>
        <w:t>Spesso la localizzazione è riportata nella “Carta delle fragilità” (vedi Piano sia della Provincia sia del Comune).</w:t>
      </w:r>
    </w:p>
    <w:p w:rsidR="004B0B15" w:rsidRDefault="004B0B15" w:rsidP="004B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2BF4" w:rsidRDefault="00962BF4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B15" w:rsidRDefault="004B0B1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Maggiori informazioni sono sicuramente reperibili a livello Pr</w:t>
      </w:r>
      <w:r w:rsidR="00B9600F">
        <w:rPr>
          <w:rFonts w:ascii="Times New Roman" w:hAnsi="Times New Roman" w:cs="Times New Roman"/>
          <w:sz w:val="24"/>
          <w:szCs w:val="24"/>
        </w:rPr>
        <w:t>ovinciale, di cui si riportano alcuni siti utili.</w:t>
      </w:r>
    </w:p>
    <w:p w:rsidR="00D003FB" w:rsidRDefault="00D003FB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2BF4" w:rsidRDefault="00962BF4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Padova</w:t>
      </w: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Consultare il sito</w:t>
      </w:r>
    </w:p>
    <w:p w:rsidR="00962BF4" w:rsidRDefault="00EF297B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07653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http://www.provincia.padova.it/ambiente/rapporto_2006/capitoli_pdf/cap.3_Il%20suolo.pdf</w:t>
        </w:r>
      </w:hyperlink>
    </w:p>
    <w:p w:rsidR="00807653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cui a pagina 63 è riportata la mappa provinciale con la caratterizzazione dei comuni in base al numero di siti potenzialmente contaminati</w:t>
      </w: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653" w:rsidRDefault="008076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Vicenza</w:t>
      </w: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A77" w:rsidRDefault="001B41D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sito della Provincia è molto ricco di informazioni, alle quali non sempre si accede facilmente per la complessità organizzativa del sito stesso. N</w:t>
      </w:r>
      <w:r w:rsidR="00C31A77">
        <w:rPr>
          <w:rFonts w:ascii="Times New Roman" w:hAnsi="Times New Roman" w:cs="Times New Roman"/>
          <w:sz w:val="24"/>
          <w:szCs w:val="24"/>
        </w:rPr>
        <w:t>on rimane che consultare le cartografie e i testi del PAT (guardare alla carta delle Fragilità).</w:t>
      </w:r>
      <w:r>
        <w:rPr>
          <w:rFonts w:ascii="Times New Roman" w:hAnsi="Times New Roman" w:cs="Times New Roman"/>
          <w:sz w:val="24"/>
          <w:szCs w:val="24"/>
        </w:rPr>
        <w:t xml:space="preserve"> Ricordarsi di consultare i testi dei piani e cercare comunque l’oggetto attraverso lo strumento “Trova”. </w:t>
      </w: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EED" w:rsidRDefault="00810EED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653" w:rsidRDefault="008076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</w:t>
      </w: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informazioni non sono disponibili</w:t>
      </w:r>
      <w:r w:rsidR="00D003FB">
        <w:rPr>
          <w:rFonts w:ascii="Times New Roman" w:hAnsi="Times New Roman" w:cs="Times New Roman"/>
          <w:sz w:val="24"/>
          <w:szCs w:val="24"/>
        </w:rPr>
        <w:t xml:space="preserve"> in maniera dettagliata</w:t>
      </w:r>
      <w:r>
        <w:rPr>
          <w:rFonts w:ascii="Times New Roman" w:hAnsi="Times New Roman" w:cs="Times New Roman"/>
          <w:sz w:val="24"/>
          <w:szCs w:val="24"/>
        </w:rPr>
        <w:t xml:space="preserve">, ma </w:t>
      </w:r>
      <w:r w:rsidR="00D003F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Provincia </w:t>
      </w:r>
      <w:r w:rsidR="00D003FB">
        <w:rPr>
          <w:rFonts w:ascii="Times New Roman" w:hAnsi="Times New Roman" w:cs="Times New Roman"/>
          <w:sz w:val="24"/>
          <w:szCs w:val="24"/>
        </w:rPr>
        <w:t>ha sviluppato un buon rapporto sulla qualità dei suoli</w:t>
      </w:r>
      <w:r w:rsidR="003A33F1">
        <w:rPr>
          <w:rFonts w:ascii="Times New Roman" w:hAnsi="Times New Roman" w:cs="Times New Roman"/>
          <w:sz w:val="24"/>
          <w:szCs w:val="24"/>
        </w:rPr>
        <w:t>; il lavoro è certamente da consultare</w:t>
      </w:r>
    </w:p>
    <w:p w:rsidR="00D003FB" w:rsidRDefault="00D003FB" w:rsidP="00EE3831">
      <w:pPr>
        <w:spacing w:after="0"/>
        <w:jc w:val="both"/>
      </w:pPr>
      <w:hyperlink r:id="rId12" w:history="1">
        <w:r w:rsidRPr="00D56B29">
          <w:rPr>
            <w:rStyle w:val="Collegamentoipertestuale"/>
          </w:rPr>
          <w:t>http://portale.provincia.vr.it/files/newweb/Area-servi/Settore-Ec/Agenda-21/Aggiorname/Rapporto-s/CAP2-Degradazione-e-contaminaz.pdf</w:t>
        </w:r>
      </w:hyperlink>
    </w:p>
    <w:p w:rsidR="00807653" w:rsidRDefault="00D003FB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cartografia è a pagina 18</w:t>
      </w:r>
      <w:r w:rsidR="00C31A77">
        <w:rPr>
          <w:rFonts w:ascii="Times New Roman" w:hAnsi="Times New Roman" w:cs="Times New Roman"/>
          <w:sz w:val="24"/>
          <w:szCs w:val="24"/>
        </w:rPr>
        <w:t>.</w:t>
      </w: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A77" w:rsidRDefault="00C31A7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653" w:rsidRDefault="008076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Treviso</w:t>
      </w:r>
    </w:p>
    <w:p w:rsidR="00807653" w:rsidRDefault="00EF297B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/>
    </w:p>
    <w:p w:rsidR="00810EED" w:rsidRDefault="00810EED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124D45">
        <w:rPr>
          <w:rFonts w:ascii="Times New Roman" w:hAnsi="Times New Roman" w:cs="Times New Roman"/>
          <w:sz w:val="24"/>
          <w:szCs w:val="24"/>
        </w:rPr>
        <w:t xml:space="preserve"> momento non si trovano informazioni e l’accesso è difficile</w:t>
      </w:r>
    </w:p>
    <w:p w:rsidR="00807653" w:rsidRDefault="008076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D45" w:rsidRDefault="00124D4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772" w:rsidRDefault="0045477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Venezia</w:t>
      </w:r>
    </w:p>
    <w:p w:rsidR="00124D45" w:rsidRDefault="00124D4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D45" w:rsidRDefault="003A33F1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124D45">
        <w:rPr>
          <w:rFonts w:ascii="Times New Roman" w:hAnsi="Times New Roman" w:cs="Times New Roman"/>
          <w:sz w:val="24"/>
          <w:szCs w:val="24"/>
        </w:rPr>
        <w:t xml:space="preserve"> sito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sottoindicato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fino a poco tempo fa riportava</w:t>
      </w:r>
      <w:r w:rsidR="00124D45">
        <w:rPr>
          <w:rFonts w:ascii="Times New Roman" w:hAnsi="Times New Roman" w:cs="Times New Roman"/>
          <w:sz w:val="24"/>
          <w:szCs w:val="24"/>
        </w:rPr>
        <w:t xml:space="preserve"> l’elenco dei siti della Provincia, per ognuno de</w:t>
      </w:r>
      <w:r w:rsidR="00C44BDB">
        <w:rPr>
          <w:rFonts w:ascii="Times New Roman" w:hAnsi="Times New Roman" w:cs="Times New Roman"/>
          <w:sz w:val="24"/>
          <w:szCs w:val="24"/>
        </w:rPr>
        <w:t xml:space="preserve">i quali </w:t>
      </w:r>
      <w:r>
        <w:rPr>
          <w:rFonts w:ascii="Times New Roman" w:hAnsi="Times New Roman" w:cs="Times New Roman"/>
          <w:sz w:val="24"/>
          <w:szCs w:val="24"/>
        </w:rPr>
        <w:t>era</w:t>
      </w:r>
      <w:r w:rsidR="00C44BDB">
        <w:rPr>
          <w:rFonts w:ascii="Times New Roman" w:hAnsi="Times New Roman" w:cs="Times New Roman"/>
          <w:sz w:val="24"/>
          <w:szCs w:val="24"/>
        </w:rPr>
        <w:t xml:space="preserve"> affiancata una descrizi</w:t>
      </w:r>
      <w:r w:rsidR="00124D45">
        <w:rPr>
          <w:rFonts w:ascii="Times New Roman" w:hAnsi="Times New Roman" w:cs="Times New Roman"/>
          <w:sz w:val="24"/>
          <w:szCs w:val="24"/>
        </w:rPr>
        <w:t>one.</w:t>
      </w:r>
      <w:r>
        <w:rPr>
          <w:rFonts w:ascii="Times New Roman" w:hAnsi="Times New Roman" w:cs="Times New Roman"/>
          <w:sz w:val="24"/>
          <w:szCs w:val="24"/>
        </w:rPr>
        <w:t xml:space="preserve"> Ora l’accesso è negato: si può tentare.</w:t>
      </w:r>
    </w:p>
    <w:p w:rsidR="003A33F1" w:rsidRDefault="003A33F1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772" w:rsidRDefault="003A33F1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3F1">
        <w:t>http://politicheambientali.provincia.venezia.it/bonifiche/siti-inquinati</w:t>
      </w:r>
    </w:p>
    <w:p w:rsidR="00454772" w:rsidRDefault="0045477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Belluno</w:t>
      </w:r>
    </w:p>
    <w:p w:rsidR="00454772" w:rsidRDefault="0045477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D45" w:rsidRDefault="00124D4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L’informazione non è immediatamente reperibile, ma questo può derivare da diverse cause; si vada comunque nel sito</w:t>
      </w:r>
    </w:p>
    <w:p w:rsidR="00454772" w:rsidRDefault="00EF297B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54772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http://www.provincia.belluno.it</w:t>
        </w:r>
        <w:r w:rsidR="00454772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/</w:t>
        </w:r>
        <w:r w:rsidR="00454772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media/allegati/pagine/Territorio-Ambiente-Mobilita/PTCP/Versione-Approvata-2010/02_A2_Relazione_progetto.pdf</w:t>
        </w:r>
      </w:hyperlink>
    </w:p>
    <w:p w:rsidR="00454772" w:rsidRDefault="00124D4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772">
        <w:rPr>
          <w:rFonts w:ascii="Times New Roman" w:hAnsi="Times New Roman" w:cs="Times New Roman"/>
          <w:sz w:val="24"/>
          <w:szCs w:val="24"/>
        </w:rPr>
        <w:t>a pag. 62 scrive:</w:t>
      </w:r>
    </w:p>
    <w:p w:rsidR="00454772" w:rsidRDefault="007622A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“Siti contaminati ed aree industriali dismesse”. Il PTCP nella tavola C2 </w:t>
      </w:r>
      <w:r w:rsidR="004B0B15">
        <w:rPr>
          <w:rFonts w:ascii="Times New Roman" w:hAnsi="Times New Roman" w:cs="Times New Roman"/>
          <w:sz w:val="24"/>
          <w:szCs w:val="24"/>
        </w:rPr>
        <w:t>(Carta delle fragilità) individua i siti contaminati …”</w:t>
      </w:r>
    </w:p>
    <w:p w:rsidR="00454772" w:rsidRDefault="004B0B1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Questo è l’accesso alla tavola citata</w:t>
      </w:r>
    </w:p>
    <w:p w:rsidR="00454772" w:rsidRDefault="00EF297B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54772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http://www.pro</w:t>
        </w:r>
        <w:r w:rsidR="00454772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v</w:t>
        </w:r>
        <w:r w:rsidR="00454772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incia.belluno.it/nqcontent.cfm?a_id=5073</w:t>
        </w:r>
      </w:hyperlink>
    </w:p>
    <w:p w:rsidR="00454772" w:rsidRDefault="00124D4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 </w:t>
      </w:r>
      <w:r w:rsidR="004B0B15">
        <w:rPr>
          <w:rFonts w:ascii="Times New Roman" w:hAnsi="Times New Roman" w:cs="Times New Roman"/>
          <w:sz w:val="24"/>
          <w:szCs w:val="24"/>
        </w:rPr>
        <w:t>non si riesce ad aprire; riprovare in un secondo momento</w:t>
      </w:r>
    </w:p>
    <w:p w:rsidR="004B0B15" w:rsidRDefault="004B0B1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772" w:rsidRDefault="004B0B1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Rovigo</w:t>
      </w:r>
    </w:p>
    <w:p w:rsidR="004B0B15" w:rsidRDefault="004B0B15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653" w:rsidRDefault="00B918B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si è riusciti a rintracciare informazioni al riguardo con riferimenti localizzativi a dettaglio comunale. Si consiglia una ricerca a livello comunale.</w:t>
      </w:r>
    </w:p>
    <w:p w:rsidR="00B918B2" w:rsidRDefault="00B918B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8B2" w:rsidRDefault="00B918B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8B2" w:rsidRDefault="00B918B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conclusione si può osservare come le diverse realtà territoriali offrano una casistica molto varia di informazione sull’argomento: si va dalla precisa localizzazione di ogni sito, con descrizioni dettagliate, fino all’assenza completa di informazioni. In questo secondo caso non si può escludere l’assenza di ogni </w:t>
      </w:r>
      <w:r w:rsidR="00B357B8">
        <w:rPr>
          <w:rFonts w:ascii="Times New Roman" w:hAnsi="Times New Roman" w:cs="Times New Roman"/>
          <w:sz w:val="24"/>
          <w:szCs w:val="24"/>
        </w:rPr>
        <w:t>interessamento</w:t>
      </w:r>
      <w:r>
        <w:rPr>
          <w:rFonts w:ascii="Times New Roman" w:hAnsi="Times New Roman" w:cs="Times New Roman"/>
          <w:sz w:val="24"/>
          <w:szCs w:val="24"/>
        </w:rPr>
        <w:t xml:space="preserve"> da parte delle amministrazioni, ma comunque risulta troppo difficile il reperimento dei dati e questo va a scapito del processo di informazione al cittadino.</w:t>
      </w:r>
    </w:p>
    <w:p w:rsidR="00B918B2" w:rsidRDefault="00B918B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8B2" w:rsidRDefault="00B918B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Quindi si procede con le seguenti ponderazioni</w:t>
      </w:r>
    </w:p>
    <w:p w:rsidR="00B918B2" w:rsidRDefault="00B918B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B918B2" w:rsidRPr="00171331" w:rsidTr="00797863">
        <w:tc>
          <w:tcPr>
            <w:tcW w:w="687" w:type="dxa"/>
          </w:tcPr>
          <w:p w:rsidR="00B918B2" w:rsidRPr="00171331" w:rsidRDefault="00B918B2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B918B2" w:rsidRPr="00171331" w:rsidRDefault="00B918B2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B918B2" w:rsidTr="00797863">
        <w:tc>
          <w:tcPr>
            <w:tcW w:w="687" w:type="dxa"/>
          </w:tcPr>
          <w:p w:rsidR="00B918B2" w:rsidRDefault="00B918B2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B918B2" w:rsidRDefault="00B918B2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 sono presenti siti contaminati</w:t>
            </w:r>
          </w:p>
        </w:tc>
      </w:tr>
      <w:tr w:rsidR="00B918B2" w:rsidTr="00797863">
        <w:tc>
          <w:tcPr>
            <w:tcW w:w="687" w:type="dxa"/>
          </w:tcPr>
          <w:p w:rsidR="00B918B2" w:rsidRPr="00171331" w:rsidRDefault="00B918B2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B918B2" w:rsidRPr="00171331" w:rsidRDefault="00B918B2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Sono presenti siti contaminati, ma in numero inferiore a 5</w:t>
            </w:r>
          </w:p>
        </w:tc>
      </w:tr>
      <w:tr w:rsidR="00B918B2" w:rsidTr="00797863">
        <w:tc>
          <w:tcPr>
            <w:tcW w:w="687" w:type="dxa"/>
          </w:tcPr>
          <w:p w:rsidR="00B918B2" w:rsidRDefault="00B918B2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B918B2" w:rsidRDefault="00B918B2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Sono presenti siti contaminati, ma in numero superiore a 5</w:t>
            </w:r>
          </w:p>
        </w:tc>
      </w:tr>
      <w:tr w:rsidR="00B918B2" w:rsidTr="00797863">
        <w:tc>
          <w:tcPr>
            <w:tcW w:w="687" w:type="dxa"/>
          </w:tcPr>
          <w:p w:rsidR="00B918B2" w:rsidRDefault="00B918B2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B918B2" w:rsidRDefault="00B918B2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 sono disponibili informazioni sul dato a livello comunale</w:t>
            </w:r>
          </w:p>
        </w:tc>
      </w:tr>
    </w:tbl>
    <w:p w:rsidR="00B918B2" w:rsidRDefault="00B918B2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653" w:rsidRDefault="001C271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difficoltà nell’applicare direttamente questa classificazione dei pesi, ogni studente può essere libero di adattare una calibrazione simile alla propria realtà territoriale, modificando e quindi riadattando la tabella.</w:t>
      </w:r>
    </w:p>
    <w:p w:rsidR="00807653" w:rsidRDefault="0080765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CD1" w:rsidRDefault="001C271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Provincia Autonoma di Trento ha elaborato l’Anagrafe dei siti da contaminare consultabile al sito:</w:t>
      </w:r>
    </w:p>
    <w:p w:rsidR="001C2717" w:rsidRDefault="001C271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D56B2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http://www.territorio.provincia.tn.it/portal/server.pt/community/asb_anagrafe_siti_da_bonificare/748/asb_anagrafe_siti_da_bonificare/21148</w:t>
        </w:r>
      </w:hyperlink>
    </w:p>
    <w:p w:rsidR="001C2717" w:rsidRDefault="001C2717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visionare la cartografia si deve cliccare su “Accesso al </w:t>
      </w:r>
      <w:proofErr w:type="spellStart"/>
      <w:r>
        <w:rPr>
          <w:rFonts w:ascii="Times New Roman" w:hAnsi="Times New Roman" w:cs="Times New Roman"/>
          <w:sz w:val="24"/>
          <w:szCs w:val="24"/>
        </w:rPr>
        <w:t>WebGis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pubblico” e l’apertura è immediata.</w:t>
      </w:r>
    </w:p>
    <w:p w:rsidR="001C2717" w:rsidRDefault="001C2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51A3" w:rsidRDefault="006E51A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 lo sviluppo dei due seguenti parametri, non si ritiene più opportuno riportare i siti di riferimento, in quanto questi sono già stati ripetutamente citati nelle pagine e nei testi precedenti, al punto da permettere una conoscenza approfondita del proprio territorio. Si farà riferimento alle carte geologiche ed idrologiche, </w:t>
      </w:r>
      <w:r w:rsidR="00CF5CD1">
        <w:rPr>
          <w:rFonts w:ascii="Times New Roman" w:hAnsi="Times New Roman" w:cs="Times New Roman"/>
          <w:sz w:val="24"/>
          <w:szCs w:val="24"/>
        </w:rPr>
        <w:t xml:space="preserve">di sicurezza, </w:t>
      </w:r>
      <w:r>
        <w:rPr>
          <w:rFonts w:ascii="Times New Roman" w:hAnsi="Times New Roman" w:cs="Times New Roman"/>
          <w:sz w:val="24"/>
          <w:szCs w:val="24"/>
        </w:rPr>
        <w:t>delle fragilità, della vulnerabilità ed anche a quella della destinazione del suolo.</w:t>
      </w:r>
    </w:p>
    <w:p w:rsidR="006E51A3" w:rsidRDefault="006E51A3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CD1" w:rsidRDefault="00CF5CD1" w:rsidP="00EE3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A3" w:rsidRDefault="006E51A3" w:rsidP="006E51A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CD1">
        <w:rPr>
          <w:rFonts w:ascii="Times New Roman" w:hAnsi="Times New Roman" w:cs="Times New Roman"/>
          <w:b/>
          <w:i/>
          <w:sz w:val="24"/>
          <w:szCs w:val="24"/>
        </w:rPr>
        <w:t>Stabilità del suolo</w:t>
      </w:r>
      <w:r>
        <w:rPr>
          <w:rFonts w:ascii="Times New Roman" w:hAnsi="Times New Roman" w:cs="Times New Roman"/>
          <w:sz w:val="24"/>
          <w:szCs w:val="24"/>
        </w:rPr>
        <w:t xml:space="preserve">. I dati si riferiscono ai dissesti in atto e alla potenziale instabilità. </w:t>
      </w:r>
      <w:r w:rsidR="00BB3C05">
        <w:rPr>
          <w:rFonts w:ascii="Times New Roman" w:hAnsi="Times New Roman" w:cs="Times New Roman"/>
          <w:sz w:val="24"/>
          <w:szCs w:val="24"/>
        </w:rPr>
        <w:t>Per la definizione di quest’ultima sono diffusi molti modelli (già trattati in altri insegnamenti del Corso di Laure</w:t>
      </w:r>
      <w:r w:rsidR="007E5F13">
        <w:rPr>
          <w:rFonts w:ascii="Times New Roman" w:hAnsi="Times New Roman" w:cs="Times New Roman"/>
          <w:sz w:val="24"/>
          <w:szCs w:val="24"/>
        </w:rPr>
        <w:t>a</w:t>
      </w:r>
      <w:r w:rsidR="00BB3C05">
        <w:rPr>
          <w:rFonts w:ascii="Times New Roman" w:hAnsi="Times New Roman" w:cs="Times New Roman"/>
          <w:sz w:val="24"/>
          <w:szCs w:val="24"/>
        </w:rPr>
        <w:t>, tra cui l’USDE rimane il più diffuso).</w:t>
      </w:r>
    </w:p>
    <w:p w:rsidR="00BB3C05" w:rsidRDefault="00BB3C05" w:rsidP="00BB3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Attribuzione del peso:</w:t>
      </w:r>
    </w:p>
    <w:p w:rsidR="00BB3C05" w:rsidRDefault="00BB3C05" w:rsidP="00BB3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BB3C05" w:rsidRPr="00171331" w:rsidTr="00797863">
        <w:tc>
          <w:tcPr>
            <w:tcW w:w="687" w:type="dxa"/>
          </w:tcPr>
          <w:p w:rsidR="00BB3C05" w:rsidRPr="00171331" w:rsidRDefault="00BB3C05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BB3C05" w:rsidRPr="00171331" w:rsidRDefault="00BB3C05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BB3C05" w:rsidTr="00797863">
        <w:tc>
          <w:tcPr>
            <w:tcW w:w="687" w:type="dxa"/>
          </w:tcPr>
          <w:p w:rsidR="00BB3C05" w:rsidRDefault="00BB3C05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BB3C05" w:rsidRDefault="00BB3C05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non è soggetto a fenomeni franosi e non presenta superfici potenzialmente instabili</w:t>
            </w:r>
          </w:p>
        </w:tc>
      </w:tr>
      <w:tr w:rsidR="00BB3C05" w:rsidTr="00797863">
        <w:tc>
          <w:tcPr>
            <w:tcW w:w="687" w:type="dxa"/>
          </w:tcPr>
          <w:p w:rsidR="00BB3C05" w:rsidRDefault="00BB3C05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BB3C05" w:rsidRDefault="00BB3C05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NON sono presenti dissesti in atto MA sono evidenti superfici a potenziale instabilità</w:t>
            </w:r>
          </w:p>
        </w:tc>
      </w:tr>
      <w:tr w:rsidR="00BB3C05" w:rsidTr="00797863">
        <w:tc>
          <w:tcPr>
            <w:tcW w:w="687" w:type="dxa"/>
          </w:tcPr>
          <w:p w:rsidR="00BB3C05" w:rsidRDefault="00BB3C05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BB3C05" w:rsidRDefault="00BB3C05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sono presenti dissesti in atto e sono evidenti superfici a potenziale instabilità</w:t>
            </w:r>
          </w:p>
        </w:tc>
      </w:tr>
    </w:tbl>
    <w:p w:rsidR="00C3036E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seguente sito dell’ARPAV sono pubblicate due cartografie regionali (scaricabili):</w:t>
      </w:r>
    </w:p>
    <w:p w:rsidR="00C3036E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36E" w:rsidRDefault="001C2717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717">
        <w:t>http://www.arpa.veneto.it/arpavinforma/indicatori-ambientali/indicatori_ambientali/geosfera/evoluzione-fisica-dei-suoli/erosione-del-suolo/view</w:t>
      </w:r>
    </w:p>
    <w:p w:rsidR="00CF5CD1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riportano sia lo stato attuale sia quello potenziale, ma non sono di facile lettura a livello comunale</w:t>
      </w:r>
      <w:r w:rsidR="00F13981">
        <w:rPr>
          <w:rFonts w:ascii="Times New Roman" w:hAnsi="Times New Roman" w:cs="Times New Roman"/>
          <w:sz w:val="24"/>
          <w:szCs w:val="24"/>
        </w:rPr>
        <w:t xml:space="preserve"> (vedi le due cartografie sulla destra della schermata)</w:t>
      </w:r>
    </w:p>
    <w:p w:rsidR="00C3036E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36E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Molto importante, invece, è consultare il sito </w:t>
      </w:r>
    </w:p>
    <w:p w:rsidR="00C3036E" w:rsidRDefault="00C3036E" w:rsidP="00C30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036E" w:rsidRDefault="00EF297B" w:rsidP="00C30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3036E" w:rsidRPr="0049134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http://www.arpa.veneto.it/suolo/docs/documenti/suolo/Rapp</w:t>
        </w:r>
        <w:r w:rsidR="00C3036E" w:rsidRPr="00491347">
          <w:rPr>
            <w:rStyle w:val="Collegamentoipertestuale"/>
            <w:rFonts w:ascii="Times New Roman" w:hAnsi="Times New Roman" w:cs="Times New Roman"/>
            <w:sz w:val="24"/>
            <w:szCs w:val="24"/>
          </w:rPr>
          <w:t>o</w:t>
        </w:r>
        <w:r w:rsidR="00C3036E" w:rsidRPr="00491347">
          <w:rPr>
            <w:rStyle w:val="Collegamentoipertestuale"/>
            <w:rFonts w:ascii="Times New Roman" w:hAnsi="Times New Roman" w:cs="Times New Roman"/>
            <w:sz w:val="24"/>
            <w:szCs w:val="24"/>
          </w:rPr>
          <w:t>rto%20finale_erosione_ARPAV3.pdf</w:t>
        </w:r>
      </w:hyperlink>
    </w:p>
    <w:p w:rsidR="00C3036E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36E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quale a partire da pag. 29 elenca i comuni a forte rischio di erosione; nella Relazione, a completamento della descrizione di questo argomento, si deve fare riferimento a quanto riportato in questo testo, qualora il proprio Comune sia citato.</w:t>
      </w:r>
    </w:p>
    <w:p w:rsidR="00C3036E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36E" w:rsidRDefault="00C3036E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A3" w:rsidRPr="00CF5CD1" w:rsidRDefault="006E51A3" w:rsidP="006E51A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5CD1">
        <w:rPr>
          <w:rFonts w:ascii="Times New Roman" w:hAnsi="Times New Roman" w:cs="Times New Roman"/>
          <w:b/>
          <w:i/>
          <w:sz w:val="24"/>
          <w:szCs w:val="24"/>
        </w:rPr>
        <w:t>Sicurezza idraulica</w:t>
      </w:r>
    </w:p>
    <w:p w:rsidR="00CF5CD1" w:rsidRDefault="00CF5CD1" w:rsidP="00CF5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CF5CD1" w:rsidRPr="00171331" w:rsidTr="00797863">
        <w:tc>
          <w:tcPr>
            <w:tcW w:w="687" w:type="dxa"/>
          </w:tcPr>
          <w:p w:rsidR="00CF5CD1" w:rsidRPr="00171331" w:rsidRDefault="00CF5CD1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CF5CD1" w:rsidRPr="00171331" w:rsidRDefault="00CF5CD1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CF5CD1" w:rsidTr="00797863">
        <w:tc>
          <w:tcPr>
            <w:tcW w:w="687" w:type="dxa"/>
          </w:tcPr>
          <w:p w:rsidR="00CF5CD1" w:rsidRDefault="00CF5CD1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CF5CD1" w:rsidRDefault="002C1FA8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non è oggetto a fenomeni di criticità idraulica</w:t>
            </w:r>
          </w:p>
        </w:tc>
      </w:tr>
      <w:tr w:rsidR="00CF5CD1" w:rsidTr="00797863">
        <w:tc>
          <w:tcPr>
            <w:tcW w:w="687" w:type="dxa"/>
          </w:tcPr>
          <w:p w:rsidR="00CF5CD1" w:rsidRDefault="00CF5CD1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CF5CD1" w:rsidRDefault="002C1FA8" w:rsidP="00F13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presenta</w:t>
            </w:r>
            <w:r w:rsidR="00CF5CD1">
              <w:rPr>
                <w:rFonts w:ascii="Times New Roman" w:hAnsi="Times New Roman" w:cs="Times New Roman"/>
                <w:sz w:val="18"/>
                <w:szCs w:val="18"/>
              </w:rPr>
              <w:t xml:space="preserve"> aree soggette ad esondazioni</w:t>
            </w:r>
          </w:p>
        </w:tc>
      </w:tr>
      <w:tr w:rsidR="00CF5CD1" w:rsidTr="00797863">
        <w:tc>
          <w:tcPr>
            <w:tcW w:w="687" w:type="dxa"/>
          </w:tcPr>
          <w:p w:rsidR="00CF5CD1" w:rsidRDefault="00CF5CD1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CF5CD1" w:rsidRDefault="002C1FA8" w:rsidP="002C1F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presenta</w:t>
            </w:r>
            <w:r w:rsidR="00CF5CD1">
              <w:rPr>
                <w:rFonts w:ascii="Times New Roman" w:hAnsi="Times New Roman" w:cs="Times New Roman"/>
                <w:sz w:val="18"/>
                <w:szCs w:val="18"/>
              </w:rPr>
              <w:t xml:space="preserve"> aree soggette ad inondazioni importanti, oltre che a fenomeni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 esondazione</w:t>
            </w:r>
          </w:p>
        </w:tc>
      </w:tr>
    </w:tbl>
    <w:p w:rsidR="00CF5CD1" w:rsidRPr="00CF5CD1" w:rsidRDefault="00CF5CD1" w:rsidP="00CF5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A3" w:rsidRDefault="00F13981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per questo aspetto le informazioni già a livello Provinciale sono molto diffuse; spesso è sufficiente la conoscenza personale per giudicare lo stato di fatto del comune oggetto di questa Relazione.</w:t>
      </w:r>
    </w:p>
    <w:p w:rsidR="00F13981" w:rsidRDefault="00F13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1FA8" w:rsidRPr="00E73C69" w:rsidRDefault="00E73C69" w:rsidP="006E51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sym w:font="Symbol" w:char="F0B7"/>
      </w:r>
      <w:r w:rsidR="002C1FA8" w:rsidRPr="00E73C69">
        <w:rPr>
          <w:rFonts w:ascii="Times New Roman" w:hAnsi="Times New Roman" w:cs="Times New Roman"/>
          <w:b/>
          <w:sz w:val="24"/>
          <w:szCs w:val="24"/>
        </w:rPr>
        <w:t>Le attività in agricoltura</w:t>
      </w:r>
    </w:p>
    <w:p w:rsidR="002C1FA8" w:rsidRDefault="002C1FA8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E4D" w:rsidRDefault="00781E4D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modalità di gestione del comparto agricolo sono ottimi indici di qualità ambientale; in particolare è importante conoscere le diverse modalità di gestione di una azienda, in modo da valutare</w:t>
      </w:r>
      <w:r w:rsidR="00E73C69">
        <w:rPr>
          <w:rFonts w:ascii="Times New Roman" w:hAnsi="Times New Roman" w:cs="Times New Roman"/>
          <w:sz w:val="24"/>
          <w:szCs w:val="24"/>
        </w:rPr>
        <w:t xml:space="preserve"> la coerenza con i principi di sostenibilità e di qualità della vita in genere.</w:t>
      </w:r>
    </w:p>
    <w:p w:rsidR="00E73C69" w:rsidRDefault="00217C10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della Relazione non è facile, in breve tempo, raccogliere informazioni appropriate per inquadrare il proprio territorio da questo punto di vista, tenendo conto anche della variabilità di tipologia dei comuni. Si va da quelli prevalentemente agricoli a quelli capoluogo di Provincia, in cui la superficie coltivata viene ad assumere scarso significato (ma questo non esclude la presenza di iniziative interessanti).</w:t>
      </w:r>
    </w:p>
    <w:p w:rsidR="00217C10" w:rsidRDefault="00217C10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7C10" w:rsidRDefault="00217C10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7C10" w:rsidRPr="00217C10" w:rsidRDefault="00217C10" w:rsidP="00217C1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7C10">
        <w:rPr>
          <w:rFonts w:ascii="Times New Roman" w:hAnsi="Times New Roman" w:cs="Times New Roman"/>
          <w:b/>
          <w:i/>
          <w:sz w:val="24"/>
          <w:szCs w:val="24"/>
        </w:rPr>
        <w:t>Le aziende biologiche</w:t>
      </w:r>
    </w:p>
    <w:p w:rsidR="00D2318A" w:rsidRDefault="00D2318A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C69" w:rsidRDefault="00E73C69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L’espressione più sintetica di una buona coltivazione agricola è sicuramente la conoscenza delle aziende biologiche presenti sul territorio. Questo esprime la volontà e le attività mosse in questo senso dalle amministrazioni superiori (Provincia e Regione) e soprattutto il livello di recepimento da parte dei cittadini.</w:t>
      </w:r>
      <w:r w:rsidR="00D2318A">
        <w:rPr>
          <w:rFonts w:ascii="Times New Roman" w:hAnsi="Times New Roman" w:cs="Times New Roman"/>
          <w:sz w:val="24"/>
          <w:szCs w:val="24"/>
        </w:rPr>
        <w:t xml:space="preserve"> La dove è maggiormente è diffusa la cultura del biologico, più facilmente le aziende preposte saranno </w:t>
      </w:r>
      <w:r w:rsidR="00B357B8">
        <w:rPr>
          <w:rFonts w:ascii="Times New Roman" w:hAnsi="Times New Roman" w:cs="Times New Roman"/>
          <w:sz w:val="24"/>
          <w:szCs w:val="24"/>
        </w:rPr>
        <w:t>attive,</w:t>
      </w:r>
      <w:r w:rsidR="00D2318A">
        <w:rPr>
          <w:rFonts w:ascii="Times New Roman" w:hAnsi="Times New Roman" w:cs="Times New Roman"/>
          <w:sz w:val="24"/>
          <w:szCs w:val="24"/>
        </w:rPr>
        <w:t xml:space="preserve"> riscontrando possibilità di guadagno.</w:t>
      </w:r>
    </w:p>
    <w:p w:rsidR="00D814A0" w:rsidRDefault="00D814A0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della RELAZIONE si può consultare il sito:</w:t>
      </w:r>
    </w:p>
    <w:p w:rsidR="00D814A0" w:rsidRDefault="00D814A0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DFA" w:rsidRDefault="00EF297B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814A0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http://www.aiabv</w:t>
        </w:r>
        <w:r w:rsidR="00D814A0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e</w:t>
        </w:r>
        <w:r w:rsidR="00D814A0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neto.org/_azagr.html</w:t>
        </w:r>
      </w:hyperlink>
    </w:p>
    <w:p w:rsidR="00D814A0" w:rsidRDefault="006E6426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quale elenca tutte le </w:t>
      </w:r>
      <w:r w:rsidRPr="003F2358">
        <w:rPr>
          <w:rFonts w:ascii="Times New Roman" w:hAnsi="Times New Roman" w:cs="Times New Roman"/>
          <w:b/>
          <w:sz w:val="24"/>
          <w:szCs w:val="24"/>
        </w:rPr>
        <w:t>aziende</w:t>
      </w:r>
      <w:r w:rsidR="003F2358" w:rsidRPr="003F2358">
        <w:rPr>
          <w:rFonts w:ascii="Times New Roman" w:hAnsi="Times New Roman" w:cs="Times New Roman"/>
          <w:b/>
          <w:sz w:val="24"/>
          <w:szCs w:val="24"/>
        </w:rPr>
        <w:t xml:space="preserve"> produttrici</w:t>
      </w:r>
      <w:r>
        <w:rPr>
          <w:rFonts w:ascii="Times New Roman" w:hAnsi="Times New Roman" w:cs="Times New Roman"/>
          <w:sz w:val="24"/>
          <w:szCs w:val="24"/>
        </w:rPr>
        <w:t xml:space="preserve"> presenti nel t</w:t>
      </w:r>
      <w:r w:rsidR="00B357B8">
        <w:rPr>
          <w:rFonts w:ascii="Times New Roman" w:hAnsi="Times New Roman" w:cs="Times New Roman"/>
          <w:sz w:val="24"/>
          <w:szCs w:val="24"/>
        </w:rPr>
        <w:t>erritorio. Si indica questo sito</w:t>
      </w:r>
      <w:r>
        <w:rPr>
          <w:rFonts w:ascii="Times New Roman" w:hAnsi="Times New Roman" w:cs="Times New Roman"/>
          <w:sz w:val="24"/>
          <w:szCs w:val="24"/>
        </w:rPr>
        <w:t xml:space="preserve"> in quanto pare essere</w:t>
      </w:r>
      <w:r w:rsidR="00B357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 più facile accesso</w:t>
      </w:r>
      <w:r w:rsidR="00B357B8">
        <w:rPr>
          <w:rFonts w:ascii="Times New Roman" w:hAnsi="Times New Roman" w:cs="Times New Roman"/>
          <w:sz w:val="24"/>
          <w:szCs w:val="24"/>
        </w:rPr>
        <w:t>, rispetto ad altri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3981">
        <w:rPr>
          <w:rFonts w:ascii="Times New Roman" w:hAnsi="Times New Roman" w:cs="Times New Roman"/>
          <w:sz w:val="24"/>
          <w:szCs w:val="24"/>
        </w:rPr>
        <w:t xml:space="preserve"> E’ importante informare che è sempre più frequente la creazione di nuovi siti Internet relativi a questo argomento e quindi è necessario estendere sempre la ricerca con le apposite parole chiave (“produzione” … “biologico” …)</w:t>
      </w:r>
    </w:p>
    <w:p w:rsidR="006E6426" w:rsidRDefault="00F13981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sito indicato l</w:t>
      </w:r>
      <w:r w:rsidR="006E6426">
        <w:rPr>
          <w:rFonts w:ascii="Times New Roman" w:hAnsi="Times New Roman" w:cs="Times New Roman"/>
          <w:sz w:val="24"/>
          <w:szCs w:val="24"/>
        </w:rPr>
        <w:t xml:space="preserve">e aziende non sono suddivise per Provincia, ma la consultazione è </w:t>
      </w:r>
      <w:r w:rsidR="00B357B8">
        <w:rPr>
          <w:rFonts w:ascii="Times New Roman" w:hAnsi="Times New Roman" w:cs="Times New Roman"/>
          <w:sz w:val="24"/>
          <w:szCs w:val="24"/>
        </w:rPr>
        <w:t xml:space="preserve">comunque </w:t>
      </w:r>
      <w:r w:rsidR="006E6426">
        <w:rPr>
          <w:rFonts w:ascii="Times New Roman" w:hAnsi="Times New Roman" w:cs="Times New Roman"/>
          <w:sz w:val="24"/>
          <w:szCs w:val="24"/>
        </w:rPr>
        <w:t>discretamente veloce.</w:t>
      </w:r>
    </w:p>
    <w:p w:rsidR="006E6426" w:rsidRDefault="006E6426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6E6426" w:rsidRPr="00171331" w:rsidTr="00797863">
        <w:tc>
          <w:tcPr>
            <w:tcW w:w="687" w:type="dxa"/>
          </w:tcPr>
          <w:p w:rsidR="006E6426" w:rsidRPr="00171331" w:rsidRDefault="006E6426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6E6426" w:rsidRPr="00171331" w:rsidRDefault="006E6426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6E6426" w:rsidTr="00797863">
        <w:tc>
          <w:tcPr>
            <w:tcW w:w="687" w:type="dxa"/>
          </w:tcPr>
          <w:p w:rsidR="006E6426" w:rsidRDefault="006E6426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6E6426" w:rsidRDefault="006E6426" w:rsidP="006E6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ricadono aziende agricole a coltivazione biologica</w:t>
            </w:r>
          </w:p>
        </w:tc>
      </w:tr>
      <w:tr w:rsidR="006E6426" w:rsidTr="00797863">
        <w:tc>
          <w:tcPr>
            <w:tcW w:w="687" w:type="dxa"/>
          </w:tcPr>
          <w:p w:rsidR="006E6426" w:rsidRDefault="006E6426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6E6426" w:rsidRDefault="006E6426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NON ricadono aziende agricole a coltivazione biologica</w:t>
            </w:r>
          </w:p>
        </w:tc>
      </w:tr>
    </w:tbl>
    <w:p w:rsidR="006E6426" w:rsidRDefault="006E6426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426" w:rsidRDefault="00B357B8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Naturalmente sarà interessante citare quelle individuate.</w:t>
      </w:r>
    </w:p>
    <w:p w:rsidR="0043445A" w:rsidRDefault="0043445A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7B8" w:rsidRDefault="00B357B8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426" w:rsidRDefault="006E6426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di valutare l’effettiva sensibilità del territorio nei confronti della produzione biologica è</w:t>
      </w:r>
      <w:r w:rsidR="003F2358">
        <w:rPr>
          <w:rFonts w:ascii="Times New Roman" w:hAnsi="Times New Roman" w:cs="Times New Roman"/>
          <w:sz w:val="24"/>
          <w:szCs w:val="24"/>
        </w:rPr>
        <w:t xml:space="preserve"> interessante conoscere anche i </w:t>
      </w:r>
      <w:r w:rsidR="003F2358" w:rsidRPr="003F2358">
        <w:rPr>
          <w:rFonts w:ascii="Times New Roman" w:hAnsi="Times New Roman" w:cs="Times New Roman"/>
          <w:b/>
          <w:sz w:val="24"/>
          <w:szCs w:val="24"/>
        </w:rPr>
        <w:t>punti di rivendita</w:t>
      </w:r>
      <w:r w:rsidR="003F2358">
        <w:rPr>
          <w:rFonts w:ascii="Times New Roman" w:hAnsi="Times New Roman" w:cs="Times New Roman"/>
          <w:sz w:val="24"/>
          <w:szCs w:val="24"/>
        </w:rPr>
        <w:t>.</w:t>
      </w:r>
    </w:p>
    <w:p w:rsidR="003F2358" w:rsidRDefault="00F13981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Ecco alcuni siti:</w:t>
      </w:r>
    </w:p>
    <w:p w:rsidR="00F13981" w:rsidRDefault="00F13981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D56B2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http://www.ecor.it/it/dove-ci-trovi</w:t>
        </w:r>
      </w:hyperlink>
    </w:p>
    <w:p w:rsidR="00F13981" w:rsidRDefault="00F13981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D56B2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http://bio.tuttogreen.it/bio/elenco/negozi/</w:t>
        </w:r>
      </w:hyperlink>
    </w:p>
    <w:p w:rsidR="00F13981" w:rsidRDefault="00F13981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D56B2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http://www.negozicuorebio.it/it/</w:t>
        </w:r>
      </w:hyperlink>
    </w:p>
    <w:p w:rsidR="00F13981" w:rsidRDefault="00F13981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981" w:rsidRDefault="00F13981" w:rsidP="006E6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981" w:rsidRDefault="00F13981" w:rsidP="006E6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426" w:rsidRDefault="006E6426" w:rsidP="006E6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Molto accattivante è il sito della Regione Veneto:</w:t>
      </w:r>
    </w:p>
    <w:p w:rsidR="006E6426" w:rsidRDefault="006E6426" w:rsidP="006E6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426" w:rsidRDefault="00EF297B" w:rsidP="006E6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13981" w:rsidRPr="00F13981">
          <w:t xml:space="preserve"> </w:t>
        </w:r>
        <w:r w:rsidR="00F13981" w:rsidRPr="00F13981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http://www.negozibio.org/regione/veneto/ </w:t>
        </w:r>
        <w:r w:rsidR="006E6426" w:rsidRPr="00850A37">
          <w:rPr>
            <w:rStyle w:val="Collegamentoipertestuale"/>
            <w:rFonts w:ascii="Times New Roman" w:hAnsi="Times New Roman" w:cs="Times New Roman"/>
            <w:sz w:val="24"/>
            <w:szCs w:val="24"/>
          </w:rPr>
          <w:t>/</w:t>
        </w:r>
      </w:hyperlink>
    </w:p>
    <w:p w:rsidR="006E6426" w:rsidRDefault="006E6426" w:rsidP="006E6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45A" w:rsidRDefault="00EF297B" w:rsidP="003F2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Provincia Autonoma di Trento è molto attiva in questo settore; un esempio tra i tanti è consultabile nel seguente sito:</w:t>
      </w:r>
      <w:bookmarkStart w:id="0" w:name="_GoBack"/>
      <w:bookmarkEnd w:id="0"/>
    </w:p>
    <w:p w:rsidR="00EF297B" w:rsidRDefault="00EF297B" w:rsidP="003F2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97B">
        <w:rPr>
          <w:rFonts w:ascii="Times New Roman" w:hAnsi="Times New Roman" w:cs="Times New Roman"/>
          <w:sz w:val="24"/>
          <w:szCs w:val="24"/>
        </w:rPr>
        <w:t>http://www.atabio.eu/guida_agricoltura_bio_trentino_lr.pdf</w:t>
      </w:r>
    </w:p>
    <w:p w:rsidR="00EF297B" w:rsidRDefault="00EF297B" w:rsidP="003F2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45A" w:rsidRDefault="0043445A" w:rsidP="003F2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Quindi:</w:t>
      </w:r>
    </w:p>
    <w:p w:rsidR="0043445A" w:rsidRDefault="0043445A" w:rsidP="003F2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43445A" w:rsidRPr="00171331" w:rsidTr="00797863">
        <w:tc>
          <w:tcPr>
            <w:tcW w:w="687" w:type="dxa"/>
          </w:tcPr>
          <w:p w:rsidR="0043445A" w:rsidRPr="00171331" w:rsidRDefault="0043445A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43445A" w:rsidRPr="00171331" w:rsidRDefault="0043445A" w:rsidP="00797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43445A" w:rsidTr="00797863">
        <w:tc>
          <w:tcPr>
            <w:tcW w:w="687" w:type="dxa"/>
          </w:tcPr>
          <w:p w:rsidR="0043445A" w:rsidRDefault="0043445A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3445A" w:rsidRDefault="0043445A" w:rsidP="004344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ci sono punti vendita di prodotti biologici</w:t>
            </w:r>
          </w:p>
        </w:tc>
      </w:tr>
      <w:tr w:rsidR="0043445A" w:rsidTr="00797863">
        <w:tc>
          <w:tcPr>
            <w:tcW w:w="687" w:type="dxa"/>
          </w:tcPr>
          <w:p w:rsidR="0043445A" w:rsidRDefault="0043445A" w:rsidP="0079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43445A" w:rsidRDefault="0043445A" w:rsidP="00797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NON ci sono punti vendita di prodotti biologici</w:t>
            </w:r>
          </w:p>
        </w:tc>
      </w:tr>
    </w:tbl>
    <w:p w:rsidR="0043445A" w:rsidRDefault="0043445A" w:rsidP="003F2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DFA" w:rsidRDefault="00B357B8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Naturalmente ogni studente può inserire ulteriori informazioni sulla base del</w:t>
      </w:r>
      <w:r w:rsidR="007E5F1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proprie conoscenze personali.</w:t>
      </w:r>
    </w:p>
    <w:p w:rsidR="00B357B8" w:rsidRDefault="00B357B8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97B" w:rsidRDefault="00EF297B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97B" w:rsidRDefault="00EF297B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97B" w:rsidRDefault="00EF297B" w:rsidP="006E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 per questo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macroindicatore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necessario includere alla fine la tabella di sintesi dei pesi attribuiti, massimi, minimi e al territorio comunale, per ognuno sei suoi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sottoindicatori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EF297B" w:rsidSect="00264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8635A"/>
    <w:multiLevelType w:val="hybridMultilevel"/>
    <w:tmpl w:val="620E438A"/>
    <w:lvl w:ilvl="0" w:tplc="E0781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C4984"/>
    <w:rsid w:val="000B5CA9"/>
    <w:rsid w:val="00124D45"/>
    <w:rsid w:val="001830F3"/>
    <w:rsid w:val="001B41D3"/>
    <w:rsid w:val="001C2717"/>
    <w:rsid w:val="00217C10"/>
    <w:rsid w:val="00264ABE"/>
    <w:rsid w:val="00281595"/>
    <w:rsid w:val="00285D53"/>
    <w:rsid w:val="0029428D"/>
    <w:rsid w:val="002A5A96"/>
    <w:rsid w:val="002C1FA8"/>
    <w:rsid w:val="003337B6"/>
    <w:rsid w:val="003430DE"/>
    <w:rsid w:val="003A33F1"/>
    <w:rsid w:val="003F0C3E"/>
    <w:rsid w:val="003F2358"/>
    <w:rsid w:val="0043445A"/>
    <w:rsid w:val="00454772"/>
    <w:rsid w:val="00455FCA"/>
    <w:rsid w:val="00473304"/>
    <w:rsid w:val="004B0B15"/>
    <w:rsid w:val="00546420"/>
    <w:rsid w:val="00575B41"/>
    <w:rsid w:val="00622AD0"/>
    <w:rsid w:val="006C4984"/>
    <w:rsid w:val="006E51A3"/>
    <w:rsid w:val="006E6426"/>
    <w:rsid w:val="0074732C"/>
    <w:rsid w:val="007622A2"/>
    <w:rsid w:val="00781E4D"/>
    <w:rsid w:val="007E5F13"/>
    <w:rsid w:val="007F598F"/>
    <w:rsid w:val="00807653"/>
    <w:rsid w:val="00810EED"/>
    <w:rsid w:val="00853127"/>
    <w:rsid w:val="008B128C"/>
    <w:rsid w:val="008B2DFF"/>
    <w:rsid w:val="00962BF4"/>
    <w:rsid w:val="00973F3B"/>
    <w:rsid w:val="009C07D0"/>
    <w:rsid w:val="00A0400A"/>
    <w:rsid w:val="00A51A48"/>
    <w:rsid w:val="00A87B6A"/>
    <w:rsid w:val="00AD5520"/>
    <w:rsid w:val="00B357B8"/>
    <w:rsid w:val="00B918B2"/>
    <w:rsid w:val="00B9600F"/>
    <w:rsid w:val="00BB3C05"/>
    <w:rsid w:val="00C3036E"/>
    <w:rsid w:val="00C31A77"/>
    <w:rsid w:val="00C3683A"/>
    <w:rsid w:val="00C44BDB"/>
    <w:rsid w:val="00C77529"/>
    <w:rsid w:val="00CA302D"/>
    <w:rsid w:val="00CA4739"/>
    <w:rsid w:val="00CE2DFA"/>
    <w:rsid w:val="00CE707A"/>
    <w:rsid w:val="00CF5CD1"/>
    <w:rsid w:val="00D003FB"/>
    <w:rsid w:val="00D2318A"/>
    <w:rsid w:val="00D814A0"/>
    <w:rsid w:val="00DD3040"/>
    <w:rsid w:val="00DF0E1C"/>
    <w:rsid w:val="00E73C69"/>
    <w:rsid w:val="00EA0D2E"/>
    <w:rsid w:val="00EA5926"/>
    <w:rsid w:val="00EE3831"/>
    <w:rsid w:val="00EF297B"/>
    <w:rsid w:val="00F1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CD21B-2D95-4518-85FF-E2C38B52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4ABE"/>
  </w:style>
  <w:style w:type="paragraph" w:styleId="Titolo1">
    <w:name w:val="heading 1"/>
    <w:basedOn w:val="Normale"/>
    <w:link w:val="Titolo1Carattere"/>
    <w:uiPriority w:val="9"/>
    <w:qFormat/>
    <w:rsid w:val="00D2318A"/>
    <w:pPr>
      <w:spacing w:after="0" w:line="240" w:lineRule="auto"/>
      <w:outlineLvl w:val="0"/>
    </w:pPr>
    <w:rPr>
      <w:rFonts w:ascii="Helvetica" w:eastAsia="Times New Roman" w:hAnsi="Helvetica" w:cs="Times New Roman"/>
      <w:kern w:val="36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498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37B6"/>
    <w:rPr>
      <w:color w:val="0000FF" w:themeColor="hyperlink"/>
      <w:u w:val="single"/>
    </w:rPr>
  </w:style>
  <w:style w:type="character" w:customStyle="1" w:styleId="highlightedsearchterm">
    <w:name w:val="highlightedsearchterm"/>
    <w:basedOn w:val="Carpredefinitoparagrafo"/>
    <w:rsid w:val="00EE3831"/>
  </w:style>
  <w:style w:type="paragraph" w:styleId="Paragrafoelenco">
    <w:name w:val="List Paragraph"/>
    <w:basedOn w:val="Normale"/>
    <w:uiPriority w:val="34"/>
    <w:qFormat/>
    <w:rsid w:val="003430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C77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2318A"/>
    <w:rPr>
      <w:rFonts w:ascii="Helvetica" w:eastAsia="Times New Roman" w:hAnsi="Helvetica" w:cs="Times New Roman"/>
      <w:kern w:val="36"/>
      <w:sz w:val="36"/>
      <w:szCs w:val="3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5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outset" w:sz="24" w:space="0" w:color="auto"/>
                            <w:left w:val="outset" w:sz="24" w:space="3" w:color="auto"/>
                            <w:bottom w:val="outset" w:sz="24" w:space="0" w:color="auto"/>
                            <w:right w:val="outset" w:sz="24" w:space="0" w:color="auto"/>
                          </w:divBdr>
                          <w:divsChild>
                            <w:div w:id="145617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ecologia.provincia.treviso.it/stato_ambiente_2004/capitolo9/industria_indicatori.htm" TargetMode="External"/><Relationship Id="rId18" Type="http://schemas.openxmlformats.org/officeDocument/2006/relationships/hyperlink" Target="http://www.aiabveneto.org/_azag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egozicuorebio.it/it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portale.provincia.vr.it/files/newweb/Area-servi/Settore-Ec/Agenda-21/Aggiorname/Rapporto-s/CAP2-Degradazione-e-contaminaz.pdf" TargetMode="External"/><Relationship Id="rId17" Type="http://schemas.openxmlformats.org/officeDocument/2006/relationships/hyperlink" Target="http://www.arpa.veneto.it/suolo/docs/documenti/suolo/Rapporto%20finale_erosione_ARPAV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rritorio.provincia.tn.it/portal/server.pt/community/asb_anagrafe_siti_da_bonificare/748/asb_anagrafe_siti_da_bonificare/21148" TargetMode="External"/><Relationship Id="rId20" Type="http://schemas.openxmlformats.org/officeDocument/2006/relationships/hyperlink" Target="http://bio.tuttogreen.it/bio/elenco/negoz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trc.it/ita/pianificazione-territoriale-veneto-ptrc-adottato.php" TargetMode="External"/><Relationship Id="rId11" Type="http://schemas.openxmlformats.org/officeDocument/2006/relationships/hyperlink" Target="http://www.provincia.padova.it/ambiente/rapporto_2006/capitoli_pdf/cap.3_Il%20suolo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http://www.provincia.belluno.it/nqcontent.cfm?a_id=507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://www.ecor.it/it/dove-ci-trov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provincia.belluno.it/media/allegati/pagine/Territorio-Ambiente-Mobilita/PTCP/Versione-Approvata-2010/02_A2_Relazione_progetto.pdf" TargetMode="External"/><Relationship Id="rId22" Type="http://schemas.openxmlformats.org/officeDocument/2006/relationships/hyperlink" Target="http://bioveneto.venetoagricoltura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Dina</cp:lastModifiedBy>
  <cp:revision>2</cp:revision>
  <dcterms:created xsi:type="dcterms:W3CDTF">2014-05-19T16:06:00Z</dcterms:created>
  <dcterms:modified xsi:type="dcterms:W3CDTF">2014-05-19T16:06:00Z</dcterms:modified>
</cp:coreProperties>
</file>