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B7" w:rsidRDefault="007E6625" w:rsidP="008245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926B7" w:rsidRPr="00063F4B">
        <w:rPr>
          <w:rFonts w:ascii="Times New Roman" w:hAnsi="Times New Roman" w:cs="Times New Roman"/>
          <w:b/>
          <w:sz w:val="28"/>
          <w:szCs w:val="28"/>
        </w:rPr>
        <w:t>LA QUALITÁ DELL’</w:t>
      </w:r>
      <w:r w:rsidR="00C926B7">
        <w:rPr>
          <w:rFonts w:ascii="Times New Roman" w:hAnsi="Times New Roman" w:cs="Times New Roman"/>
          <w:b/>
          <w:sz w:val="28"/>
          <w:szCs w:val="28"/>
        </w:rPr>
        <w:t>ACQUA</w:t>
      </w:r>
    </w:p>
    <w:p w:rsidR="00C926B7" w:rsidRDefault="00C926B7" w:rsidP="00824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375" w:rsidRDefault="003237B3" w:rsidP="008245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Qualità delle acque – Inquinamento delle risorse idriche</w:t>
      </w:r>
    </w:p>
    <w:p w:rsidR="003237B3" w:rsidRDefault="003237B3" w:rsidP="00C92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375" w:rsidRDefault="00520375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375">
        <w:rPr>
          <w:rFonts w:ascii="Times New Roman" w:hAnsi="Times New Roman" w:cs="Times New Roman"/>
          <w:sz w:val="24"/>
          <w:szCs w:val="24"/>
        </w:rPr>
        <w:t>Questo capitolo è dedicato alle caratteristiche della componente idrica del territorio.</w:t>
      </w:r>
      <w:r>
        <w:rPr>
          <w:rFonts w:ascii="Times New Roman" w:hAnsi="Times New Roman" w:cs="Times New Roman"/>
          <w:sz w:val="24"/>
          <w:szCs w:val="24"/>
        </w:rPr>
        <w:t xml:space="preserve"> Si inizia quindi con la descrizione dei corpi idrici presenti, di cui si è già a conoscenza a seguito della consultazione del Piano territoriale Regionale di Coordinamento (Tavola 1B – Uso del suolo/Acqua</w:t>
      </w:r>
      <w:r w:rsidR="00E65329">
        <w:rPr>
          <w:rFonts w:ascii="Times New Roman" w:hAnsi="Times New Roman" w:cs="Times New Roman"/>
          <w:sz w:val="24"/>
          <w:szCs w:val="24"/>
        </w:rPr>
        <w:t xml:space="preserve"> nel caso della regione Veneto</w:t>
      </w:r>
      <w:r>
        <w:rPr>
          <w:rFonts w:ascii="Times New Roman" w:hAnsi="Times New Roman" w:cs="Times New Roman"/>
          <w:sz w:val="24"/>
          <w:szCs w:val="24"/>
        </w:rPr>
        <w:t xml:space="preserve">) e del Piano Provinciale. Si tratta quindi </w:t>
      </w:r>
      <w:r w:rsidR="00B21BF9">
        <w:rPr>
          <w:rFonts w:ascii="Times New Roman" w:hAnsi="Times New Roman" w:cs="Times New Roman"/>
          <w:sz w:val="24"/>
          <w:szCs w:val="24"/>
        </w:rPr>
        <w:t xml:space="preserve">dei corsi d’acqua e dei laghi, di eventuali zone umide presenti, della zone di risorgiva. Si può riprendere quanto già descritto </w:t>
      </w:r>
      <w:r w:rsidR="00F4178D">
        <w:rPr>
          <w:rFonts w:ascii="Times New Roman" w:hAnsi="Times New Roman" w:cs="Times New Roman"/>
          <w:sz w:val="24"/>
          <w:szCs w:val="24"/>
        </w:rPr>
        <w:t>nei capitoli precedenti della Relazione</w:t>
      </w:r>
      <w:r w:rsidR="00B21BF9">
        <w:rPr>
          <w:rFonts w:ascii="Times New Roman" w:hAnsi="Times New Roman" w:cs="Times New Roman"/>
          <w:sz w:val="24"/>
          <w:szCs w:val="24"/>
        </w:rPr>
        <w:t>, inserendolo in un contesto dedicato al tema dell’acqua: ad esempio si può ricordare la presenza di acquedotti, di acque termali, di pozzi artesiani e così via.</w:t>
      </w:r>
    </w:p>
    <w:p w:rsidR="00B21BF9" w:rsidRDefault="00493592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strumento principale cui fare riferimento è il Piano di Tutela delle Acque della Regione Veneto, il cui testo</w:t>
      </w:r>
      <w:r w:rsidR="00A6618E">
        <w:rPr>
          <w:rFonts w:ascii="Times New Roman" w:hAnsi="Times New Roman" w:cs="Times New Roman"/>
          <w:sz w:val="24"/>
          <w:szCs w:val="24"/>
        </w:rPr>
        <w:t>, in particolar modo la Sintesi degli aspetti conoscitivi</w:t>
      </w:r>
      <w:r>
        <w:rPr>
          <w:rFonts w:ascii="Times New Roman" w:hAnsi="Times New Roman" w:cs="Times New Roman"/>
          <w:sz w:val="24"/>
          <w:szCs w:val="24"/>
        </w:rPr>
        <w:t xml:space="preserve"> è consultabile al sito:</w:t>
      </w:r>
    </w:p>
    <w:p w:rsidR="00A6618E" w:rsidRDefault="00A6618E" w:rsidP="00520375">
      <w:pPr>
        <w:spacing w:after="0"/>
        <w:jc w:val="both"/>
      </w:pPr>
      <w:hyperlink r:id="rId8" w:history="1">
        <w:r w:rsidRPr="00F92425">
          <w:rPr>
            <w:rStyle w:val="Collegamentoipertestuale"/>
          </w:rPr>
          <w:t>http://repository.regione.veneto.it/UCI/Piano%20Tutela%20Acque/Piano%20Tutela%20Acque%20Allegato%20A%201.pdf</w:t>
        </w:r>
      </w:hyperlink>
    </w:p>
    <w:p w:rsidR="00A6618E" w:rsidRDefault="00A6618E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592" w:rsidRDefault="00001FC7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 territori che non ricadono in questa Regione si trovano in ogni caso informazioni simili a quelle richieste per la stesura di questo capitolo; </w:t>
      </w:r>
      <w:r w:rsidR="00F4178D">
        <w:rPr>
          <w:rFonts w:ascii="Times New Roman" w:hAnsi="Times New Roman" w:cs="Times New Roman"/>
          <w:sz w:val="24"/>
          <w:szCs w:val="24"/>
        </w:rPr>
        <w:t xml:space="preserve">in alternativa </w:t>
      </w:r>
      <w:r>
        <w:rPr>
          <w:rFonts w:ascii="Times New Roman" w:hAnsi="Times New Roman" w:cs="Times New Roman"/>
          <w:sz w:val="24"/>
          <w:szCs w:val="24"/>
        </w:rPr>
        <w:t xml:space="preserve">si può comunque fare riferimento al docente per ulteriore </w:t>
      </w:r>
      <w:r w:rsidR="002A62BA">
        <w:rPr>
          <w:rFonts w:ascii="Times New Roman" w:hAnsi="Times New Roman" w:cs="Times New Roman"/>
          <w:sz w:val="24"/>
          <w:szCs w:val="24"/>
        </w:rPr>
        <w:t>suppor</w:t>
      </w:r>
      <w:r>
        <w:rPr>
          <w:rFonts w:ascii="Times New Roman" w:hAnsi="Times New Roman" w:cs="Times New Roman"/>
          <w:sz w:val="24"/>
          <w:szCs w:val="24"/>
        </w:rPr>
        <w:t>to.</w:t>
      </w:r>
    </w:p>
    <w:p w:rsidR="00E65329" w:rsidRDefault="00E6532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329" w:rsidRPr="00E65329" w:rsidRDefault="00E6532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329">
        <w:rPr>
          <w:rFonts w:ascii="Times New Roman" w:hAnsi="Times New Roman" w:cs="Times New Roman"/>
          <w:sz w:val="24"/>
          <w:szCs w:val="24"/>
        </w:rPr>
        <w:t xml:space="preserve">Per la </w:t>
      </w:r>
      <w:r w:rsidRPr="000E2F23">
        <w:rPr>
          <w:rFonts w:ascii="Times New Roman" w:hAnsi="Times New Roman" w:cs="Times New Roman"/>
          <w:b/>
          <w:sz w:val="24"/>
          <w:szCs w:val="24"/>
        </w:rPr>
        <w:t>Regione Lombardia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5329" w:rsidRDefault="00E6532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329">
        <w:rPr>
          <w:rFonts w:ascii="Times New Roman" w:hAnsi="Times New Roman" w:cs="Times New Roman"/>
          <w:sz w:val="24"/>
          <w:szCs w:val="24"/>
        </w:rPr>
        <w:t>http://www.ors.regione.lombardia.it/cm/pagina.jhtml?param1_1=N11e3afc18be8ce5ad6f</w:t>
      </w:r>
    </w:p>
    <w:p w:rsidR="00E65329" w:rsidRDefault="00346FAF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D49DC" w:rsidRPr="00AC01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http://www.ors.regione.lombardia.it/resources/pagina/N11e3b0af51da6020148/N11e3b0af51da6020148/PROGRAMMA_DI_TUTELA_E_USO_DELLE_ACQUE_IL_lOMBARDIA.pdf</w:t>
        </w:r>
      </w:hyperlink>
    </w:p>
    <w:p w:rsidR="003856E6" w:rsidRDefault="003856E6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soprattutto:</w:t>
      </w:r>
    </w:p>
    <w:p w:rsidR="004D49DC" w:rsidRDefault="003856E6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6E6">
        <w:rPr>
          <w:rFonts w:ascii="Times New Roman" w:hAnsi="Times New Roman" w:cs="Times New Roman"/>
          <w:sz w:val="24"/>
          <w:szCs w:val="24"/>
        </w:rPr>
        <w:t>http://www.ors.regione.lombardia.it/resources/pagina/N12032ced450401d4ce6/N12032ced450401d4ce6/allegato12.pdf</w:t>
      </w:r>
    </w:p>
    <w:p w:rsidR="003856E6" w:rsidRDefault="003856E6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56E6">
        <w:rPr>
          <w:rFonts w:ascii="Times New Roman" w:hAnsi="Times New Roman" w:cs="Times New Roman"/>
          <w:sz w:val="24"/>
          <w:szCs w:val="24"/>
        </w:rPr>
        <w:t>http://www.ors.regione.lombardia.it/resources/pagina/N12024baa3329d953592/N12024baa3329d953592/monitoraggio_e_classificazione.pdf</w:t>
      </w:r>
    </w:p>
    <w:p w:rsidR="00A223E6" w:rsidRDefault="00346FAF" w:rsidP="00A22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223E6" w:rsidRPr="00AC01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http://www.ambientebrescia.it/Fiumi.pdf</w:t>
        </w:r>
      </w:hyperlink>
    </w:p>
    <w:p w:rsidR="00C611CC" w:rsidRDefault="00C611CC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C09" w:rsidRDefault="00507C0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0E2F23">
        <w:rPr>
          <w:rFonts w:ascii="Times New Roman" w:hAnsi="Times New Roman" w:cs="Times New Roman"/>
          <w:b/>
          <w:sz w:val="24"/>
          <w:szCs w:val="24"/>
        </w:rPr>
        <w:t>Provincia Autonoma di Trento</w:t>
      </w:r>
      <w:r>
        <w:rPr>
          <w:rFonts w:ascii="Times New Roman" w:hAnsi="Times New Roman" w:cs="Times New Roman"/>
          <w:sz w:val="24"/>
          <w:szCs w:val="24"/>
        </w:rPr>
        <w:t xml:space="preserve"> è dotata di due strumenti fondamentali:</w:t>
      </w:r>
    </w:p>
    <w:p w:rsidR="00507C09" w:rsidRPr="00507C09" w:rsidRDefault="00507C09" w:rsidP="0052037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07C09">
        <w:rPr>
          <w:rStyle w:val="Enfasicorsivo"/>
          <w:rFonts w:ascii="Times New Roman" w:hAnsi="Times New Roman" w:cs="Times New Roman"/>
          <w:bCs/>
          <w:i w:val="0"/>
          <w:color w:val="000000"/>
        </w:rPr>
        <w:t>il</w:t>
      </w:r>
      <w:r w:rsidRPr="00507C09">
        <w:rPr>
          <w:rStyle w:val="Enfasicorsivo"/>
          <w:rFonts w:ascii="Times New Roman" w:hAnsi="Times New Roman" w:cs="Times New Roman"/>
          <w:b/>
          <w:bCs/>
          <w:color w:val="000000"/>
        </w:rPr>
        <w:t xml:space="preserve"> Piano generale di utilizzazione delle acque Pubbliche</w:t>
      </w:r>
      <w:r w:rsidRPr="00507C09">
        <w:rPr>
          <w:rFonts w:ascii="Times New Roman" w:hAnsi="Times New Roman" w:cs="Times New Roman"/>
          <w:color w:val="000000"/>
        </w:rPr>
        <w:t xml:space="preserve"> (PGUAP) </w:t>
      </w:r>
    </w:p>
    <w:p w:rsidR="00507C09" w:rsidRDefault="00346FAF" w:rsidP="00520375">
      <w:pPr>
        <w:spacing w:after="0"/>
        <w:jc w:val="both"/>
        <w:rPr>
          <w:rFonts w:ascii="Times New Roman" w:hAnsi="Times New Roman" w:cs="Times New Roman"/>
          <w:color w:val="000000"/>
        </w:rPr>
      </w:pPr>
      <w:hyperlink r:id="rId11" w:history="1">
        <w:r w:rsidR="00507C09" w:rsidRPr="00AC0181">
          <w:rPr>
            <w:rStyle w:val="Collegamentoipertestuale"/>
            <w:rFonts w:ascii="Times New Roman" w:hAnsi="Times New Roman" w:cs="Times New Roman"/>
          </w:rPr>
          <w:t>http://pguap.provincia.t</w:t>
        </w:r>
        <w:r w:rsidR="00507C09" w:rsidRPr="00AC0181">
          <w:rPr>
            <w:rStyle w:val="Collegamentoipertestuale"/>
            <w:rFonts w:ascii="Times New Roman" w:hAnsi="Times New Roman" w:cs="Times New Roman"/>
          </w:rPr>
          <w:t>n</w:t>
        </w:r>
        <w:r w:rsidR="00507C09" w:rsidRPr="00AC0181">
          <w:rPr>
            <w:rStyle w:val="Collegamentoipertestuale"/>
            <w:rFonts w:ascii="Times New Roman" w:hAnsi="Times New Roman" w:cs="Times New Roman"/>
          </w:rPr>
          <w:t>.it/pdf/Piano/2parte.pdf</w:t>
        </w:r>
      </w:hyperlink>
    </w:p>
    <w:p w:rsidR="00507C09" w:rsidRPr="00507C09" w:rsidRDefault="00507C09" w:rsidP="00520375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 i</w:t>
      </w:r>
      <w:r w:rsidRPr="00507C09">
        <w:rPr>
          <w:rFonts w:ascii="Times New Roman" w:hAnsi="Times New Roman" w:cs="Times New Roman"/>
          <w:color w:val="000000"/>
        </w:rPr>
        <w:t xml:space="preserve">l </w:t>
      </w:r>
      <w:r w:rsidRPr="00507C09">
        <w:rPr>
          <w:rStyle w:val="Enfasicorsivo"/>
          <w:rFonts w:ascii="Times New Roman" w:hAnsi="Times New Roman" w:cs="Times New Roman"/>
          <w:b/>
          <w:bCs/>
          <w:color w:val="000000"/>
        </w:rPr>
        <w:t>Piano di tutela della qualità delle acque</w:t>
      </w:r>
      <w:r w:rsidRPr="00507C09">
        <w:rPr>
          <w:rFonts w:ascii="Times New Roman" w:hAnsi="Times New Roman" w:cs="Times New Roman"/>
          <w:color w:val="000000"/>
        </w:rPr>
        <w:t xml:space="preserve"> (PTA).</w:t>
      </w:r>
    </w:p>
    <w:p w:rsidR="00507C09" w:rsidRDefault="00507C0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C09">
        <w:rPr>
          <w:rFonts w:ascii="Times New Roman" w:hAnsi="Times New Roman" w:cs="Times New Roman"/>
          <w:sz w:val="24"/>
          <w:szCs w:val="24"/>
        </w:rPr>
        <w:t>http://www.appa.provincia.tn.it/pianificazione/Piano_di_tutela/-Piano_Tutela_Acque/pagina1.html</w:t>
      </w:r>
    </w:p>
    <w:p w:rsidR="00507C09" w:rsidRDefault="000E2F23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si consiglia di scaricare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compressi elencati in fondo alla pagina. La Provincia utilizza diversi indicatori  e classificazioni di qualità delle acque, i quali possono essere </w:t>
      </w:r>
      <w:r w:rsidR="007E662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tilizzati come meglio si ritiene opportuno.</w:t>
      </w:r>
      <w:r w:rsidR="00753E87">
        <w:rPr>
          <w:rFonts w:ascii="Times New Roman" w:hAnsi="Times New Roman" w:cs="Times New Roman"/>
          <w:sz w:val="24"/>
          <w:szCs w:val="24"/>
        </w:rPr>
        <w:t xml:space="preserve"> Nei documenti sono riportati i bacini principali della provincia, i punti di monitoraggio delle acque superficiali (soprattutto, ma non solo, Tav. 3_1.pdf) e delle acque sotterranee (Tav2III_1.pdf)</w:t>
      </w:r>
      <w:r w:rsidR="00101019">
        <w:rPr>
          <w:rFonts w:ascii="Times New Roman" w:hAnsi="Times New Roman" w:cs="Times New Roman"/>
          <w:sz w:val="24"/>
          <w:szCs w:val="24"/>
        </w:rPr>
        <w:t>, lo stato chimico delle acque sotterranee (Tav2III_2), i siti inquinati (Tav2X_1.pdf)</w:t>
      </w:r>
    </w:p>
    <w:p w:rsidR="00507C09" w:rsidRDefault="00507C09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A0D" w:rsidRDefault="00FB4A0D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</w:t>
      </w:r>
      <w:r w:rsidRPr="00FB4A0D">
        <w:rPr>
          <w:rFonts w:ascii="Times New Roman" w:hAnsi="Times New Roman" w:cs="Times New Roman"/>
          <w:b/>
          <w:sz w:val="24"/>
          <w:szCs w:val="24"/>
        </w:rPr>
        <w:t>Regione Friuli Venezia Giulia</w:t>
      </w:r>
      <w:r>
        <w:rPr>
          <w:rFonts w:ascii="Times New Roman" w:hAnsi="Times New Roman" w:cs="Times New Roman"/>
          <w:sz w:val="24"/>
          <w:szCs w:val="24"/>
        </w:rPr>
        <w:t xml:space="preserve"> si fa riferimento nel corso del testo.</w:t>
      </w:r>
    </w:p>
    <w:p w:rsidR="00FB4A0D" w:rsidRDefault="00FB4A0D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FC7" w:rsidRDefault="00C611CC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Nel caso in cui non ci siano risorse idriche nell’ambito del proprio territorio comunale, </w:t>
      </w:r>
      <w:r w:rsidR="00234A4B">
        <w:rPr>
          <w:rFonts w:ascii="Times New Roman" w:hAnsi="Times New Roman" w:cs="Times New Roman"/>
          <w:sz w:val="24"/>
          <w:szCs w:val="24"/>
        </w:rPr>
        <w:t xml:space="preserve">in particolare fiumi e laghi,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C611CC">
        <w:rPr>
          <w:rFonts w:ascii="Times New Roman" w:hAnsi="Times New Roman" w:cs="Times New Roman"/>
          <w:b/>
          <w:sz w:val="24"/>
          <w:szCs w:val="24"/>
        </w:rPr>
        <w:t>deve comunque</w:t>
      </w:r>
      <w:r>
        <w:rPr>
          <w:rFonts w:ascii="Times New Roman" w:hAnsi="Times New Roman" w:cs="Times New Roman"/>
          <w:sz w:val="24"/>
          <w:szCs w:val="24"/>
        </w:rPr>
        <w:t xml:space="preserve"> far riferimento a quella più nota e significativa più vicina.</w:t>
      </w:r>
    </w:p>
    <w:p w:rsidR="00C611CC" w:rsidRDefault="00E31F0F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testo qui segnalato è uno strumento fondamentale per l’attività professionale; se ne consiglia vivamente la consultazione; essendo il file in formato PDF è possibile rintracciare qualsiasi voce utilizzando lo strumento “Trova”. Da segnalare: la fig. 5.16 a pag 281 della “Sintesi degli aspetti conoscitivi” e l’indice IFF al capitolo 6 da pag. 282 in poi.</w:t>
      </w:r>
    </w:p>
    <w:p w:rsidR="00E31F0F" w:rsidRDefault="00E31F0F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FC7" w:rsidRDefault="00122088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Quindi n</w:t>
      </w:r>
      <w:r w:rsidR="00001FC7">
        <w:rPr>
          <w:rFonts w:ascii="Times New Roman" w:hAnsi="Times New Roman" w:cs="Times New Roman"/>
          <w:sz w:val="24"/>
          <w:szCs w:val="24"/>
        </w:rPr>
        <w:t>ella RELAZIONE</w:t>
      </w:r>
      <w:r>
        <w:rPr>
          <w:rFonts w:ascii="Times New Roman" w:hAnsi="Times New Roman" w:cs="Times New Roman"/>
          <w:sz w:val="24"/>
          <w:szCs w:val="24"/>
        </w:rPr>
        <w:t xml:space="preserve">, prima del calcolo degli indici, </w:t>
      </w:r>
      <w:r w:rsidR="00001FC7">
        <w:rPr>
          <w:rFonts w:ascii="Times New Roman" w:hAnsi="Times New Roman" w:cs="Times New Roman"/>
          <w:sz w:val="24"/>
          <w:szCs w:val="24"/>
        </w:rPr>
        <w:t>si deve:</w:t>
      </w:r>
    </w:p>
    <w:p w:rsidR="00C611CC" w:rsidRDefault="00C611CC" w:rsidP="00520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FC7" w:rsidRDefault="00001FC7" w:rsidP="00001FC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Descrivere l’assetto idrico del proprio territorio (fiumi, laghi, eccetera) considerando anche il bacino e il sottobacino idrografico (vedi a pag. 40 della “Sintesi degli aspetti conoscitivi”</w:t>
      </w:r>
      <w:r w:rsidR="00A6618E">
        <w:rPr>
          <w:rFonts w:ascii="Times New Roman" w:hAnsi="Times New Roman" w:cs="Times New Roman"/>
          <w:sz w:val="24"/>
          <w:szCs w:val="24"/>
        </w:rPr>
        <w:t xml:space="preserve"> del PTA veneto</w:t>
      </w:r>
      <w:r w:rsidR="00716C25">
        <w:rPr>
          <w:rFonts w:ascii="Times New Roman" w:hAnsi="Times New Roman" w:cs="Times New Roman"/>
          <w:sz w:val="24"/>
          <w:szCs w:val="24"/>
        </w:rPr>
        <w:t>). Da Pagina 320 in poi del testo appena citato è riportata una descrizione suddivi</w:t>
      </w:r>
      <w:r w:rsidR="00C611CC">
        <w:rPr>
          <w:rFonts w:ascii="Times New Roman" w:hAnsi="Times New Roman" w:cs="Times New Roman"/>
          <w:sz w:val="24"/>
          <w:szCs w:val="24"/>
        </w:rPr>
        <w:t xml:space="preserve">sa per bacino e per sottobacino; per ogni fiume si considera la presenza o meno di </w:t>
      </w:r>
      <w:r w:rsidR="00C611CC" w:rsidRPr="003856E6">
        <w:rPr>
          <w:rFonts w:ascii="Times New Roman" w:hAnsi="Times New Roman" w:cs="Times New Roman"/>
          <w:b/>
          <w:sz w:val="24"/>
          <w:szCs w:val="24"/>
        </w:rPr>
        <w:t>stazioni di monitoraggio</w:t>
      </w:r>
      <w:r w:rsidR="00C611CC">
        <w:rPr>
          <w:rFonts w:ascii="Times New Roman" w:hAnsi="Times New Roman" w:cs="Times New Roman"/>
          <w:sz w:val="24"/>
          <w:szCs w:val="24"/>
        </w:rPr>
        <w:t xml:space="preserve"> e si riporta il breve commento sulla qualità delle sue acque.</w:t>
      </w:r>
    </w:p>
    <w:p w:rsidR="00C611CC" w:rsidRDefault="00C611CC" w:rsidP="00C6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1CC" w:rsidRDefault="00C611CC" w:rsidP="00C6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8C" w:rsidRDefault="00E62E8C" w:rsidP="00C61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1CC" w:rsidRPr="00A6618E" w:rsidRDefault="00C611CC" w:rsidP="00A6618E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18E">
        <w:rPr>
          <w:rFonts w:ascii="Times New Roman" w:hAnsi="Times New Roman" w:cs="Times New Roman"/>
          <w:b/>
          <w:i/>
          <w:sz w:val="28"/>
          <w:szCs w:val="28"/>
        </w:rPr>
        <w:t>Le acque sotterranee</w:t>
      </w:r>
      <w:r w:rsidR="0016594A" w:rsidRPr="00A6618E">
        <w:rPr>
          <w:rFonts w:ascii="Times New Roman" w:hAnsi="Times New Roman" w:cs="Times New Roman"/>
          <w:b/>
          <w:i/>
          <w:sz w:val="28"/>
          <w:szCs w:val="28"/>
        </w:rPr>
        <w:t xml:space="preserve"> – concentrazione di NO</w:t>
      </w:r>
      <w:r w:rsidR="0016594A" w:rsidRPr="00A6618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16594A" w:rsidRPr="00A6618E">
        <w:rPr>
          <w:rFonts w:ascii="Times New Roman" w:hAnsi="Times New Roman" w:cs="Times New Roman"/>
          <w:b/>
          <w:i/>
          <w:sz w:val="28"/>
          <w:szCs w:val="28"/>
        </w:rPr>
        <w:t xml:space="preserve"> mg/l</w:t>
      </w:r>
    </w:p>
    <w:p w:rsidR="00C611CC" w:rsidRDefault="00C611CC" w:rsidP="00C611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11CC" w:rsidRDefault="00C611CC" w:rsidP="00C611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1CC">
        <w:rPr>
          <w:rFonts w:ascii="Times New Roman" w:hAnsi="Times New Roman" w:cs="Times New Roman"/>
          <w:sz w:val="24"/>
          <w:szCs w:val="24"/>
        </w:rPr>
        <w:t>L’inquinamento delle acque di falda deriva principalmente dal rilascio di sostanze inquinanti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 xml:space="preserve">direttamente sul suolo, attribuibile sia a fonti diffuse </w:t>
      </w:r>
      <w:r w:rsidR="00252536">
        <w:rPr>
          <w:rFonts w:ascii="Times New Roman" w:hAnsi="Times New Roman" w:cs="Times New Roman"/>
          <w:sz w:val="24"/>
          <w:szCs w:val="24"/>
        </w:rPr>
        <w:t>sia a</w:t>
      </w:r>
      <w:r w:rsidRPr="00C611CC">
        <w:rPr>
          <w:rFonts w:ascii="Times New Roman" w:hAnsi="Times New Roman" w:cs="Times New Roman"/>
          <w:sz w:val="24"/>
          <w:szCs w:val="24"/>
        </w:rPr>
        <w:t xml:space="preserve"> fonti puntuali con il conseguente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>interessamento delle acque presenti nel sottosuolo a seguito della percolazione.</w:t>
      </w:r>
    </w:p>
    <w:p w:rsidR="00C611CC" w:rsidRDefault="00C611CC" w:rsidP="00C611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quanto riguarda la pianura</w:t>
      </w:r>
      <w:r w:rsidR="00252536">
        <w:rPr>
          <w:rFonts w:ascii="Times New Roman" w:hAnsi="Times New Roman" w:cs="Times New Roman"/>
          <w:sz w:val="24"/>
          <w:szCs w:val="24"/>
        </w:rPr>
        <w:t xml:space="preserve">, </w:t>
      </w:r>
      <w:r w:rsidR="00252536" w:rsidRPr="00C611CC">
        <w:rPr>
          <w:rFonts w:ascii="Times New Roman" w:hAnsi="Times New Roman" w:cs="Times New Roman"/>
          <w:sz w:val="24"/>
          <w:szCs w:val="24"/>
        </w:rPr>
        <w:t xml:space="preserve">in falda freatica </w:t>
      </w:r>
      <w:r w:rsidR="00252536">
        <w:rPr>
          <w:rFonts w:ascii="Times New Roman" w:hAnsi="Times New Roman" w:cs="Times New Roman"/>
          <w:sz w:val="24"/>
          <w:szCs w:val="24"/>
        </w:rPr>
        <w:t>si riscontrano prevalentemente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C611CC">
        <w:rPr>
          <w:rFonts w:ascii="Times New Roman" w:hAnsi="Times New Roman" w:cs="Times New Roman"/>
          <w:sz w:val="24"/>
          <w:szCs w:val="24"/>
        </w:rPr>
        <w:t>li inquinanti di origine agro-zootecnica,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>concentrazioni variabili a seconda della vulnerabilità della falda. Un indicatore importante sulla pressione esercitata dal comparto agro-zootecnico sulle acque sotterranee è dato dalla presenza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 xml:space="preserve">di </w:t>
      </w:r>
      <w:r w:rsidRPr="00252536">
        <w:rPr>
          <w:rFonts w:ascii="Times New Roman" w:hAnsi="Times New Roman" w:cs="Times New Roman"/>
          <w:b/>
          <w:sz w:val="24"/>
          <w:szCs w:val="24"/>
        </w:rPr>
        <w:t>nitrati</w:t>
      </w:r>
      <w:r w:rsidR="00F417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178D" w:rsidRPr="00F4178D">
        <w:rPr>
          <w:rFonts w:ascii="Times New Roman" w:hAnsi="Times New Roman" w:cs="Times New Roman"/>
          <w:sz w:val="24"/>
          <w:szCs w:val="24"/>
        </w:rPr>
        <w:t>Questi sono presenti</w:t>
      </w:r>
      <w:r w:rsidRPr="00C611CC">
        <w:rPr>
          <w:rFonts w:ascii="Times New Roman" w:hAnsi="Times New Roman" w:cs="Times New Roman"/>
          <w:sz w:val="24"/>
          <w:szCs w:val="24"/>
        </w:rPr>
        <w:t xml:space="preserve"> in ampie zone della Regione Veneto</w:t>
      </w:r>
      <w:r w:rsidR="00F4178D">
        <w:rPr>
          <w:rFonts w:ascii="Times New Roman" w:hAnsi="Times New Roman" w:cs="Times New Roman"/>
          <w:sz w:val="24"/>
          <w:szCs w:val="24"/>
        </w:rPr>
        <w:t>,</w:t>
      </w:r>
      <w:r w:rsidRPr="00C611CC">
        <w:rPr>
          <w:rFonts w:ascii="Times New Roman" w:hAnsi="Times New Roman" w:cs="Times New Roman"/>
          <w:sz w:val="24"/>
          <w:szCs w:val="24"/>
        </w:rPr>
        <w:t xml:space="preserve"> con concentrazioni più o meno elevate e in taluni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 xml:space="preserve">casi superiori al valore limite (50 mg/L) previsto dal </w:t>
      </w:r>
      <w:proofErr w:type="spellStart"/>
      <w:r w:rsidRPr="00C611CC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611CC">
        <w:rPr>
          <w:rFonts w:ascii="Times New Roman" w:hAnsi="Times New Roman" w:cs="Times New Roman"/>
          <w:sz w:val="24"/>
          <w:szCs w:val="24"/>
        </w:rPr>
        <w:t xml:space="preserve"> n. 31/2001 per le acque destinate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CC">
        <w:rPr>
          <w:rFonts w:ascii="Times New Roman" w:hAnsi="Times New Roman" w:cs="Times New Roman"/>
          <w:sz w:val="24"/>
          <w:szCs w:val="24"/>
        </w:rPr>
        <w:t>consumo umano.</w:t>
      </w:r>
    </w:p>
    <w:p w:rsidR="00252536" w:rsidRDefault="00252536" w:rsidP="002525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2536">
        <w:rPr>
          <w:rFonts w:ascii="Times New Roman" w:hAnsi="Times New Roman" w:cs="Times New Roman"/>
          <w:sz w:val="24"/>
          <w:szCs w:val="24"/>
        </w:rPr>
        <w:t>Nelle acque sotterranee presenti nelle zone montane sono stati registrati pochi eventi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536">
        <w:rPr>
          <w:rFonts w:ascii="Times New Roman" w:hAnsi="Times New Roman" w:cs="Times New Roman"/>
          <w:sz w:val="24"/>
          <w:szCs w:val="24"/>
        </w:rPr>
        <w:t>inquinamento, i quali principalmente risultano essere dovuti alla presenza di carica batterica,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536">
        <w:rPr>
          <w:rFonts w:ascii="Times New Roman" w:hAnsi="Times New Roman" w:cs="Times New Roman"/>
          <w:sz w:val="24"/>
          <w:szCs w:val="24"/>
        </w:rPr>
        <w:t>campioni di acque sorgive captate per il consumo umano.</w:t>
      </w:r>
      <w:r w:rsidR="00B31D5C">
        <w:rPr>
          <w:rFonts w:ascii="Times New Roman" w:hAnsi="Times New Roman" w:cs="Times New Roman"/>
          <w:sz w:val="24"/>
          <w:szCs w:val="24"/>
        </w:rPr>
        <w:t xml:space="preserve"> </w:t>
      </w:r>
      <w:r w:rsidR="00A6618E">
        <w:rPr>
          <w:rFonts w:ascii="Times New Roman" w:hAnsi="Times New Roman" w:cs="Times New Roman"/>
          <w:sz w:val="24"/>
          <w:szCs w:val="24"/>
        </w:rPr>
        <w:t>Nel</w:t>
      </w:r>
      <w:r w:rsidR="00B31D5C">
        <w:rPr>
          <w:rFonts w:ascii="Times New Roman" w:hAnsi="Times New Roman" w:cs="Times New Roman"/>
          <w:sz w:val="24"/>
          <w:szCs w:val="24"/>
        </w:rPr>
        <w:t xml:space="preserve"> Piano di Tutela delle acque viene considerato “montano” un territorio posto a quota superiore a 250 m s.l.m. Ai fini della relazione si può dedurre che </w:t>
      </w:r>
      <w:r w:rsidR="00B31D5C" w:rsidRPr="00A6618E">
        <w:rPr>
          <w:rFonts w:ascii="Times New Roman" w:hAnsi="Times New Roman" w:cs="Times New Roman"/>
          <w:b/>
          <w:sz w:val="24"/>
          <w:szCs w:val="24"/>
        </w:rPr>
        <w:t>il fenomeno di scarso inquinamento si possa quindi estendere a tutti gli ambiti ad altitudine superiore a questo dato.</w:t>
      </w:r>
    </w:p>
    <w:p w:rsidR="00252536" w:rsidRDefault="00252536" w:rsidP="002525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2536" w:rsidRDefault="00252536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dati relativi a questo tipo di inquinamento si trovano nel sito del PTRC della Regione Veneto</w:t>
      </w:r>
    </w:p>
    <w:p w:rsidR="00252536" w:rsidRDefault="00346FA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52536" w:rsidRPr="00807F5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http://www.ptrc.it/ita/pianificazione-territoriale-veneto-ptrc-adottato.php</w:t>
        </w:r>
      </w:hyperlink>
    </w:p>
    <w:p w:rsidR="00252536" w:rsidRDefault="00252536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va alla Pagina del Quadro Conoscitivo, quindi al Tema 3 e all’Azione 13.</w:t>
      </w:r>
    </w:p>
    <w:p w:rsidR="00252536" w:rsidRDefault="00252536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voce “Livelli di concentrazione dei nitrati nelle acque sotterranee” troviamo il file in Excel che riporta </w:t>
      </w:r>
      <w:r w:rsidRPr="00252536">
        <w:rPr>
          <w:rFonts w:ascii="Times New Roman" w:hAnsi="Times New Roman" w:cs="Times New Roman"/>
          <w:sz w:val="24"/>
          <w:szCs w:val="24"/>
        </w:rPr>
        <w:t xml:space="preserve">le medie delle </w:t>
      </w:r>
      <w:r w:rsidR="000C0E99">
        <w:rPr>
          <w:rFonts w:ascii="Times New Roman" w:hAnsi="Times New Roman" w:cs="Times New Roman"/>
          <w:sz w:val="24"/>
          <w:szCs w:val="24"/>
        </w:rPr>
        <w:t>concentrazioni di NO</w:t>
      </w:r>
      <w:r w:rsidR="000C0E99" w:rsidRPr="000C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0E99">
        <w:rPr>
          <w:rFonts w:ascii="Times New Roman" w:hAnsi="Times New Roman" w:cs="Times New Roman"/>
          <w:sz w:val="24"/>
          <w:szCs w:val="24"/>
        </w:rPr>
        <w:t xml:space="preserve"> mg/l misurate nel 2007</w:t>
      </w:r>
      <w:r w:rsidRPr="00252536">
        <w:rPr>
          <w:rFonts w:ascii="Times New Roman" w:hAnsi="Times New Roman" w:cs="Times New Roman"/>
          <w:sz w:val="24"/>
          <w:szCs w:val="24"/>
        </w:rPr>
        <w:t xml:space="preserve"> </w:t>
      </w:r>
      <w:r w:rsidR="00E829F9">
        <w:rPr>
          <w:rFonts w:ascii="Times New Roman" w:hAnsi="Times New Roman" w:cs="Times New Roman"/>
          <w:sz w:val="24"/>
          <w:szCs w:val="24"/>
        </w:rPr>
        <w:t>negli acquiferi</w:t>
      </w:r>
      <w:r w:rsidRPr="00252536">
        <w:rPr>
          <w:rFonts w:ascii="Times New Roman" w:hAnsi="Times New Roman" w:cs="Times New Roman"/>
          <w:sz w:val="24"/>
          <w:szCs w:val="24"/>
        </w:rPr>
        <w:t xml:space="preserve"> in ogni comune del Veneto.</w:t>
      </w:r>
    </w:p>
    <w:p w:rsidR="000C0E99" w:rsidRDefault="000C0E99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E99" w:rsidRDefault="000C0E99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 ricerca il proprio comune e il valore lo si confronta con la media provinciale (da calcolare).</w:t>
      </w:r>
      <w:r w:rsidR="00B17F8F">
        <w:rPr>
          <w:rFonts w:ascii="Times New Roman" w:hAnsi="Times New Roman" w:cs="Times New Roman"/>
          <w:sz w:val="24"/>
          <w:szCs w:val="24"/>
        </w:rPr>
        <w:t xml:space="preserve"> Nel caso, frequente, in cui il proprio comune non sia riportato, si deve fare riferimento a quello più vicino, in quanto è ammissibile ritenere che la qualità delle acque sotterranee si faccia sentire per un significativo raggio di distanza.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F8F">
        <w:rPr>
          <w:rFonts w:ascii="Times New Roman" w:hAnsi="Times New Roman" w:cs="Times New Roman"/>
          <w:sz w:val="24"/>
          <w:szCs w:val="24"/>
        </w:rPr>
        <w:t xml:space="preserve">In diversi casi per ogni comune sono state svolte analisi in più di un pozzo acquifero (è il caso di Cittadella, di </w:t>
      </w:r>
      <w:proofErr w:type="spellStart"/>
      <w:r w:rsidR="00B17F8F">
        <w:rPr>
          <w:rFonts w:ascii="Times New Roman" w:hAnsi="Times New Roman" w:cs="Times New Roman"/>
          <w:sz w:val="24"/>
          <w:szCs w:val="24"/>
        </w:rPr>
        <w:t>Volpago</w:t>
      </w:r>
      <w:proofErr w:type="spellEnd"/>
      <w:r w:rsidR="00B17F8F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B17F8F">
        <w:rPr>
          <w:rFonts w:ascii="Times New Roman" w:hAnsi="Times New Roman" w:cs="Times New Roman"/>
          <w:sz w:val="24"/>
          <w:szCs w:val="24"/>
        </w:rPr>
        <w:t>Montello</w:t>
      </w:r>
      <w:proofErr w:type="spellEnd"/>
      <w:r w:rsidR="00B17F8F">
        <w:rPr>
          <w:rFonts w:ascii="Times New Roman" w:hAnsi="Times New Roman" w:cs="Times New Roman"/>
          <w:sz w:val="24"/>
          <w:szCs w:val="24"/>
        </w:rPr>
        <w:t xml:space="preserve"> ecc.); in questa situazione si procede alla media dei valori del comune, che viene quindi attribuita al comune stesso.</w:t>
      </w:r>
    </w:p>
    <w:p w:rsidR="00E31F0F" w:rsidRDefault="00E31F0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file non sono presenti né la Provincia di Belluno (il territorio</w:t>
      </w:r>
      <w:r w:rsidR="002A62BA">
        <w:rPr>
          <w:rFonts w:ascii="Times New Roman" w:hAnsi="Times New Roman" w:cs="Times New Roman"/>
          <w:sz w:val="24"/>
          <w:szCs w:val="24"/>
        </w:rPr>
        <w:t xml:space="preserve"> è prevalentemente montuoso</w:t>
      </w:r>
      <w:r w:rsidR="00C1043C">
        <w:rPr>
          <w:rFonts w:ascii="Times New Roman" w:hAnsi="Times New Roman" w:cs="Times New Roman"/>
          <w:sz w:val="24"/>
          <w:szCs w:val="24"/>
        </w:rPr>
        <w:t xml:space="preserve"> e tutti i suoi comuni presentano scarso contenuto di inquinamento nelle acque sotterranee</w:t>
      </w:r>
      <w:r w:rsidR="00FE2C93">
        <w:rPr>
          <w:rFonts w:ascii="Times New Roman" w:hAnsi="Times New Roman" w:cs="Times New Roman"/>
          <w:sz w:val="24"/>
          <w:szCs w:val="24"/>
        </w:rPr>
        <w:t xml:space="preserve">) né la Provincia di Venezia (il motivo </w:t>
      </w:r>
      <w:r w:rsidR="003E6AA1">
        <w:rPr>
          <w:rFonts w:ascii="Times New Roman" w:hAnsi="Times New Roman" w:cs="Times New Roman"/>
          <w:sz w:val="24"/>
          <w:szCs w:val="24"/>
        </w:rPr>
        <w:t>non è noto, nonostante insistenti richieste in proposito</w:t>
      </w:r>
      <w:r w:rsidR="00FE2C93">
        <w:rPr>
          <w:rFonts w:ascii="Times New Roman" w:hAnsi="Times New Roman" w:cs="Times New Roman"/>
          <w:sz w:val="24"/>
          <w:szCs w:val="24"/>
        </w:rPr>
        <w:t>).</w:t>
      </w:r>
    </w:p>
    <w:p w:rsidR="00660655" w:rsidRDefault="003E6AA1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 comuni ricadenti in questa provincia si consiglia di </w:t>
      </w:r>
      <w:r w:rsidR="00660655">
        <w:rPr>
          <w:rFonts w:ascii="Times New Roman" w:hAnsi="Times New Roman" w:cs="Times New Roman"/>
          <w:sz w:val="24"/>
          <w:szCs w:val="24"/>
        </w:rPr>
        <w:t>consultare la cartografia</w:t>
      </w:r>
    </w:p>
    <w:p w:rsidR="00B17F8F" w:rsidRDefault="00660655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55">
        <w:rPr>
          <w:rFonts w:ascii="Times New Roman" w:hAnsi="Times New Roman" w:cs="Times New Roman"/>
          <w:sz w:val="24"/>
          <w:szCs w:val="24"/>
        </w:rPr>
        <w:t>http://repository.regione.veneto.it/tutela-ambiente/Fig_2_3_Zone_Vulnerabili.pdf</w:t>
      </w:r>
    </w:p>
    <w:p w:rsidR="003E6AA1" w:rsidRDefault="00660655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quindi al proprio comune si può attribuire un peso in base al fatto se ricade, oppure no, nelle zone vulnerabili ai nitrati ( la tabella della ponderazione può essere agevolmente costruita sulla traccia di quella di seguito riportata).</w:t>
      </w:r>
    </w:p>
    <w:p w:rsidR="00B17F8F" w:rsidRDefault="00B17F8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alla ponderazione:</w:t>
      </w:r>
    </w:p>
    <w:p w:rsidR="00B17F8F" w:rsidRDefault="00B17F8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87"/>
        <w:gridCol w:w="9072"/>
      </w:tblGrid>
      <w:tr w:rsidR="00B17F8F" w:rsidRPr="00171331" w:rsidTr="00823092">
        <w:tc>
          <w:tcPr>
            <w:tcW w:w="687" w:type="dxa"/>
          </w:tcPr>
          <w:p w:rsidR="00B17F8F" w:rsidRPr="00171331" w:rsidRDefault="00B17F8F" w:rsidP="00823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B17F8F" w:rsidRPr="00171331" w:rsidRDefault="00B17F8F" w:rsidP="00823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B17F8F" w:rsidTr="00823092">
        <w:tc>
          <w:tcPr>
            <w:tcW w:w="687" w:type="dxa"/>
          </w:tcPr>
          <w:p w:rsidR="00B17F8F" w:rsidRPr="00171331" w:rsidRDefault="00B17F8F" w:rsidP="0082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B17F8F" w:rsidRDefault="00B17F8F" w:rsidP="008230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acque sotterranee del comune hanno una concentrazione media di NO3 </w:t>
            </w:r>
            <w:r w:rsidRPr="00B17F8F">
              <w:rPr>
                <w:rFonts w:ascii="Times New Roman" w:hAnsi="Times New Roman" w:cs="Times New Roman"/>
                <w:b/>
                <w:sz w:val="18"/>
                <w:szCs w:val="18"/>
              </w:rPr>
              <w:t>inferiore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provinciale</w:t>
            </w:r>
          </w:p>
          <w:p w:rsidR="00B31D5C" w:rsidRPr="00171331" w:rsidRDefault="00B31D5C" w:rsidP="00B31D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si trova in zona montana a quota superiore a 250 m s.l.m.</w:t>
            </w:r>
          </w:p>
        </w:tc>
      </w:tr>
      <w:tr w:rsidR="00B17F8F" w:rsidTr="00823092">
        <w:tc>
          <w:tcPr>
            <w:tcW w:w="687" w:type="dxa"/>
          </w:tcPr>
          <w:p w:rsidR="00B17F8F" w:rsidRPr="00171331" w:rsidRDefault="00B17F8F" w:rsidP="0082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B17F8F" w:rsidRPr="00171331" w:rsidRDefault="00B17F8F" w:rsidP="00B17F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acque sotterranee del comune hanno una concentrazione media di NO3 </w:t>
            </w:r>
            <w:r w:rsidRPr="00B17F8F">
              <w:rPr>
                <w:rFonts w:ascii="Times New Roman" w:hAnsi="Times New Roman" w:cs="Times New Roman"/>
                <w:b/>
                <w:sz w:val="18"/>
                <w:szCs w:val="18"/>
              </w:rPr>
              <w:t>superiore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provinciale</w:t>
            </w:r>
          </w:p>
        </w:tc>
      </w:tr>
    </w:tbl>
    <w:p w:rsidR="00C1043C" w:rsidRDefault="00C1043C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94A" w:rsidRDefault="00660655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la Regione Lombardia</w:t>
      </w:r>
    </w:p>
    <w:p w:rsidR="00660655" w:rsidRDefault="00346FA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97FF2" w:rsidRPr="00AC01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http://www.ors.regione.lombardia.it/resources/pagina/N12033ddbf819816f51f/N12033ddbf819816f51f/cartografia.pdf</w:t>
        </w:r>
      </w:hyperlink>
    </w:p>
    <w:p w:rsidR="00F97FF2" w:rsidRDefault="00F97FF2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oppure</w:t>
      </w:r>
    </w:p>
    <w:p w:rsidR="00F97FF2" w:rsidRDefault="00346FA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97FF2" w:rsidRPr="00AC01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http://www.ors.regione.lombardia.it/resources/pagina/N12032ced450401d4ce6/N12032ced450401d4ce6/allegato_10.pdf</w:t>
        </w:r>
      </w:hyperlink>
    </w:p>
    <w:p w:rsidR="00F97FF2" w:rsidRDefault="00F97FF2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pagina 45 del testo e controllare se il comune ricade o meno in zona vulnerabile.</w:t>
      </w:r>
    </w:p>
    <w:p w:rsidR="002A62BA" w:rsidRDefault="00FA218A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Provincia Autonoma di Trento, essendo prevalentemente montuosa, non svolge monitoraggi significativi sul fenomeno (vedi pag. 349</w:t>
      </w:r>
    </w:p>
    <w:p w:rsidR="00FA218A" w:rsidRDefault="00FA218A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9242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http://www.appa.provincia.tn.it/binary/pat_appa/rapamb12_qualita/14_RSA_Acqua.1361793259.pdf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E2F23" w:rsidRDefault="000E2F23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F23" w:rsidRDefault="000E2F23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Friuli Venezia Giulia</w:t>
      </w:r>
    </w:p>
    <w:p w:rsidR="000E2F23" w:rsidRDefault="00346FAF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F6B80" w:rsidRPr="00AC01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http://www.warbo-life.eu/sites/default/files/documprivati/10_ARPA_FVG.pdf</w:t>
        </w:r>
      </w:hyperlink>
    </w:p>
    <w:p w:rsidR="00EF6B80" w:rsidRDefault="00EF6B80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B80">
        <w:rPr>
          <w:rFonts w:ascii="Times New Roman" w:hAnsi="Times New Roman" w:cs="Times New Roman"/>
          <w:sz w:val="24"/>
          <w:szCs w:val="24"/>
        </w:rPr>
        <w:t>http://www.arpa.fvg.it/cms/tema/acqua/acque-sotterranee/</w:t>
      </w:r>
    </w:p>
    <w:p w:rsidR="000E2F23" w:rsidRDefault="000E2F23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43C" w:rsidRPr="00C1043C" w:rsidRDefault="00A26731" w:rsidP="00C1043C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43C">
        <w:rPr>
          <w:rFonts w:ascii="Times New Roman" w:hAnsi="Times New Roman" w:cs="Times New Roman"/>
          <w:b/>
          <w:i/>
          <w:sz w:val="28"/>
          <w:szCs w:val="28"/>
        </w:rPr>
        <w:t>Le acque superficiali</w:t>
      </w:r>
      <w:r w:rsidR="0016594A" w:rsidRPr="00C1043C">
        <w:rPr>
          <w:rFonts w:ascii="Times New Roman" w:hAnsi="Times New Roman" w:cs="Times New Roman"/>
          <w:b/>
          <w:i/>
          <w:sz w:val="28"/>
          <w:szCs w:val="28"/>
        </w:rPr>
        <w:t>– concentrazione di NO</w:t>
      </w:r>
      <w:r w:rsidR="0016594A" w:rsidRPr="00C1043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16594A" w:rsidRPr="00C1043C">
        <w:rPr>
          <w:rFonts w:ascii="Times New Roman" w:hAnsi="Times New Roman" w:cs="Times New Roman"/>
          <w:b/>
          <w:i/>
          <w:sz w:val="28"/>
          <w:szCs w:val="28"/>
        </w:rPr>
        <w:t xml:space="preserve"> mg/l</w:t>
      </w:r>
    </w:p>
    <w:p w:rsidR="00A26731" w:rsidRDefault="00A26731" w:rsidP="00C10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4238" w:rsidRDefault="008A4238" w:rsidP="008A42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voce “Livelli di concentrazione dei nitrati nelle acque superficiali” troviamo il file in Excel che riporta </w:t>
      </w:r>
      <w:r w:rsidRPr="00252536">
        <w:rPr>
          <w:rFonts w:ascii="Times New Roman" w:hAnsi="Times New Roman" w:cs="Times New Roman"/>
          <w:sz w:val="24"/>
          <w:szCs w:val="24"/>
        </w:rPr>
        <w:t xml:space="preserve">le medie delle </w:t>
      </w:r>
      <w:r>
        <w:rPr>
          <w:rFonts w:ascii="Times New Roman" w:hAnsi="Times New Roman" w:cs="Times New Roman"/>
          <w:sz w:val="24"/>
          <w:szCs w:val="24"/>
        </w:rPr>
        <w:t>concentrazioni di NO</w:t>
      </w:r>
      <w:r w:rsidRPr="000C0E9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mg/l misurate nel 2006</w:t>
      </w:r>
      <w:r w:rsidRPr="002525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nei punti scelti lungo le reti </w:t>
      </w:r>
      <w:proofErr w:type="spellStart"/>
      <w:r>
        <w:rPr>
          <w:rFonts w:ascii="Times New Roman" w:hAnsi="Times New Roman" w:cs="Times New Roman"/>
          <w:sz w:val="24"/>
          <w:szCs w:val="24"/>
        </w:rPr>
        <w:t>acquedottistiche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252536">
        <w:rPr>
          <w:rFonts w:ascii="Times New Roman" w:hAnsi="Times New Roman" w:cs="Times New Roman"/>
          <w:sz w:val="24"/>
          <w:szCs w:val="24"/>
        </w:rPr>
        <w:t xml:space="preserve"> ogni comune del Veneto.</w:t>
      </w:r>
    </w:p>
    <w:p w:rsidR="008A4238" w:rsidRDefault="008A4238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639" w:rsidRDefault="00CE2639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in questo caso si confronta il valore rilevato nel proprio comune, o in mancanza di questo in quello più vicino, e lo si confronta con la media provinciale e si procede alla ponderazione:</w:t>
      </w:r>
    </w:p>
    <w:p w:rsidR="00F81B14" w:rsidRDefault="00F81B14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87"/>
        <w:gridCol w:w="9072"/>
      </w:tblGrid>
      <w:tr w:rsidR="00CE2639" w:rsidRPr="00171331" w:rsidTr="00823092">
        <w:tc>
          <w:tcPr>
            <w:tcW w:w="687" w:type="dxa"/>
          </w:tcPr>
          <w:p w:rsidR="00CE2639" w:rsidRPr="00171331" w:rsidRDefault="00CE2639" w:rsidP="00823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CE2639" w:rsidRPr="00171331" w:rsidRDefault="00CE2639" w:rsidP="00823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CE2639" w:rsidTr="00823092">
        <w:tc>
          <w:tcPr>
            <w:tcW w:w="687" w:type="dxa"/>
          </w:tcPr>
          <w:p w:rsidR="00CE2639" w:rsidRPr="00171331" w:rsidRDefault="00CE2639" w:rsidP="0082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CE2639" w:rsidRPr="00171331" w:rsidRDefault="00CE2639" w:rsidP="00CE2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acque superficiali del comune hanno una concentrazione media di NO3 </w:t>
            </w:r>
            <w:r w:rsidRPr="00B17F8F">
              <w:rPr>
                <w:rFonts w:ascii="Times New Roman" w:hAnsi="Times New Roman" w:cs="Times New Roman"/>
                <w:b/>
                <w:sz w:val="18"/>
                <w:szCs w:val="18"/>
              </w:rPr>
              <w:t>inferiore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provinciale</w:t>
            </w:r>
          </w:p>
        </w:tc>
      </w:tr>
      <w:tr w:rsidR="00CE2639" w:rsidTr="00823092">
        <w:tc>
          <w:tcPr>
            <w:tcW w:w="687" w:type="dxa"/>
          </w:tcPr>
          <w:p w:rsidR="00CE2639" w:rsidRPr="00171331" w:rsidRDefault="00CE2639" w:rsidP="00823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CE2639" w:rsidRPr="00171331" w:rsidRDefault="00CE2639" w:rsidP="00CE2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acque superficiali del comune hanno una concentrazione media di NO3 </w:t>
            </w:r>
            <w:r w:rsidRPr="00B17F8F">
              <w:rPr>
                <w:rFonts w:ascii="Times New Roman" w:hAnsi="Times New Roman" w:cs="Times New Roman"/>
                <w:b/>
                <w:sz w:val="18"/>
                <w:szCs w:val="18"/>
              </w:rPr>
              <w:t>superiore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quella media provinciale</w:t>
            </w:r>
          </w:p>
        </w:tc>
      </w:tr>
    </w:tbl>
    <w:p w:rsidR="00CE2639" w:rsidRDefault="00CE2639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AD3" w:rsidRDefault="00E00AD3" w:rsidP="000C0E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43C" w:rsidRPr="00C1043C" w:rsidRDefault="0016594A" w:rsidP="00C1043C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043C">
        <w:rPr>
          <w:rFonts w:ascii="Times New Roman" w:hAnsi="Times New Roman" w:cs="Times New Roman"/>
          <w:b/>
          <w:i/>
          <w:sz w:val="28"/>
          <w:szCs w:val="28"/>
        </w:rPr>
        <w:t>Le acque superficiali: lo stato ecologico e lo stato ambientale</w:t>
      </w:r>
    </w:p>
    <w:p w:rsidR="0016594A" w:rsidRDefault="0016594A" w:rsidP="00C10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94A" w:rsidRDefault="0016594A" w:rsidP="001659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94A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16594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6594A">
        <w:rPr>
          <w:rFonts w:ascii="Times New Roman" w:hAnsi="Times New Roman" w:cs="Times New Roman"/>
          <w:sz w:val="24"/>
          <w:szCs w:val="24"/>
        </w:rPr>
        <w:t xml:space="preserve"> n. 152/1999 prevedeva che i corsi d’acqua fossero classificati per il </w:t>
      </w:r>
      <w:r w:rsidRPr="00CD4D38">
        <w:rPr>
          <w:rFonts w:ascii="Times New Roman" w:hAnsi="Times New Roman" w:cs="Times New Roman"/>
          <w:b/>
          <w:sz w:val="24"/>
          <w:szCs w:val="24"/>
        </w:rPr>
        <w:t xml:space="preserve">loro </w:t>
      </w:r>
      <w:r w:rsidRPr="00CD4D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stato ecologico </w:t>
      </w:r>
      <w:r w:rsidRPr="0016594A">
        <w:rPr>
          <w:rFonts w:ascii="Times New Roman" w:hAnsi="Times New Roman" w:cs="Times New Roman"/>
          <w:sz w:val="24"/>
          <w:szCs w:val="24"/>
        </w:rPr>
        <w:t xml:space="preserve">e per il loro </w:t>
      </w:r>
      <w:r w:rsidRPr="00CD4D38">
        <w:rPr>
          <w:rFonts w:ascii="Times New Roman" w:hAnsi="Times New Roman" w:cs="Times New Roman"/>
          <w:b/>
          <w:i/>
          <w:iCs/>
          <w:sz w:val="24"/>
          <w:szCs w:val="24"/>
        </w:rPr>
        <w:t>stato ambientale</w:t>
      </w:r>
      <w:r w:rsidRPr="0016594A">
        <w:rPr>
          <w:rFonts w:ascii="Times New Roman" w:hAnsi="Times New Roman" w:cs="Times New Roman"/>
          <w:sz w:val="24"/>
          <w:szCs w:val="24"/>
        </w:rPr>
        <w:t>.</w:t>
      </w:r>
    </w:p>
    <w:p w:rsidR="00CD4D38" w:rsidRDefault="00CD4D38" w:rsidP="00CD4D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D38" w:rsidRDefault="00C1043C" w:rsidP="00CD4D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ESRI Arrowhead" w:hAnsi="ESRI Arrowhead" w:cs="Times New Roman"/>
          <w:sz w:val="24"/>
          <w:szCs w:val="24"/>
        </w:rPr>
        <w:t>&lt;</w:t>
      </w:r>
      <w:r w:rsidR="00A34347">
        <w:rPr>
          <w:rFonts w:ascii="ESRI Arrowhead" w:hAnsi="ESRI Arrowhead" w:cs="Times New Roman"/>
          <w:sz w:val="24"/>
          <w:szCs w:val="24"/>
        </w:rPr>
        <w:t xml:space="preserve"> </w:t>
      </w:r>
      <w:r w:rsidR="00CD4D38" w:rsidRPr="00CD4D38">
        <w:rPr>
          <w:rFonts w:ascii="Times New Roman" w:hAnsi="Times New Roman" w:cs="Times New Roman"/>
          <w:sz w:val="24"/>
          <w:szCs w:val="24"/>
        </w:rPr>
        <w:t xml:space="preserve">La classificazione dello </w:t>
      </w:r>
      <w:r w:rsidR="00CD4D38" w:rsidRPr="00CD4D38">
        <w:rPr>
          <w:rFonts w:ascii="Times New Roman" w:hAnsi="Times New Roman" w:cs="Times New Roman"/>
          <w:b/>
          <w:i/>
          <w:sz w:val="24"/>
          <w:szCs w:val="24"/>
        </w:rPr>
        <w:t>stato ecologico</w:t>
      </w:r>
      <w:r w:rsidR="00CD4D38" w:rsidRPr="00CD4D38">
        <w:rPr>
          <w:rFonts w:ascii="Times New Roman" w:hAnsi="Times New Roman" w:cs="Times New Roman"/>
          <w:sz w:val="24"/>
          <w:szCs w:val="24"/>
        </w:rPr>
        <w:t>, espressa in classi dalla 1 alla 5</w:t>
      </w:r>
      <w:r w:rsidR="005A2D2B">
        <w:rPr>
          <w:rFonts w:ascii="Times New Roman" w:hAnsi="Times New Roman" w:cs="Times New Roman"/>
          <w:sz w:val="24"/>
          <w:szCs w:val="24"/>
        </w:rPr>
        <w:t xml:space="preserve"> (da</w:t>
      </w:r>
      <w:r w:rsidR="003E6AA1">
        <w:rPr>
          <w:rFonts w:ascii="Times New Roman" w:hAnsi="Times New Roman" w:cs="Times New Roman"/>
          <w:sz w:val="24"/>
          <w:szCs w:val="24"/>
        </w:rPr>
        <w:t>lle condizioni migliori</w:t>
      </w:r>
      <w:r w:rsidR="006214F3">
        <w:rPr>
          <w:rFonts w:ascii="Times New Roman" w:hAnsi="Times New Roman" w:cs="Times New Roman"/>
          <w:sz w:val="24"/>
          <w:szCs w:val="24"/>
        </w:rPr>
        <w:t xml:space="preserve"> </w:t>
      </w:r>
      <w:r w:rsidR="003E6AA1">
        <w:rPr>
          <w:rFonts w:ascii="Times New Roman" w:hAnsi="Times New Roman" w:cs="Times New Roman"/>
          <w:sz w:val="24"/>
          <w:szCs w:val="24"/>
        </w:rPr>
        <w:t>a quelle peggiori</w:t>
      </w:r>
      <w:r w:rsidR="006214F3">
        <w:rPr>
          <w:rFonts w:ascii="Times New Roman" w:hAnsi="Times New Roman" w:cs="Times New Roman"/>
          <w:sz w:val="24"/>
          <w:szCs w:val="24"/>
        </w:rPr>
        <w:t>)</w:t>
      </w:r>
      <w:r w:rsidR="00CD4D38" w:rsidRPr="00CD4D38">
        <w:rPr>
          <w:rFonts w:ascii="Times New Roman" w:hAnsi="Times New Roman" w:cs="Times New Roman"/>
          <w:sz w:val="24"/>
          <w:szCs w:val="24"/>
        </w:rPr>
        <w:t>, si ottiene dall’incrocio fra il dato risultante dai macrodescrittori (azoto ammoniacale,</w:t>
      </w:r>
      <w:r w:rsidR="00CD4D38">
        <w:rPr>
          <w:rFonts w:ascii="Times New Roman" w:hAnsi="Times New Roman" w:cs="Times New Roman"/>
          <w:sz w:val="24"/>
          <w:szCs w:val="24"/>
        </w:rPr>
        <w:t xml:space="preserve"> </w:t>
      </w:r>
      <w:r w:rsidR="00CD4D38" w:rsidRPr="00CD4D38">
        <w:rPr>
          <w:rFonts w:ascii="Times New Roman" w:hAnsi="Times New Roman" w:cs="Times New Roman"/>
          <w:sz w:val="24"/>
          <w:szCs w:val="24"/>
        </w:rPr>
        <w:t xml:space="preserve">azoto nitrico, fosforo totale, percentuale di saturazione dell’ossigeno, BOD5, COD ed </w:t>
      </w:r>
      <w:proofErr w:type="spellStart"/>
      <w:r w:rsidR="00CD4D38" w:rsidRPr="00CD4D38">
        <w:rPr>
          <w:rFonts w:ascii="Times New Roman" w:hAnsi="Times New Roman" w:cs="Times New Roman"/>
          <w:i/>
          <w:iCs/>
          <w:sz w:val="24"/>
          <w:szCs w:val="24"/>
        </w:rPr>
        <w:t>Escherichia</w:t>
      </w:r>
      <w:proofErr w:type="spellEnd"/>
      <w:r w:rsidR="00CD4D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4D38" w:rsidRPr="00CD4D38">
        <w:rPr>
          <w:rFonts w:ascii="Times New Roman" w:hAnsi="Times New Roman" w:cs="Times New Roman"/>
          <w:i/>
          <w:iCs/>
          <w:sz w:val="24"/>
          <w:szCs w:val="24"/>
        </w:rPr>
        <w:t>coli</w:t>
      </w:r>
      <w:r w:rsidR="00CD4D38" w:rsidRPr="00CD4D38">
        <w:rPr>
          <w:rFonts w:ascii="Times New Roman" w:hAnsi="Times New Roman" w:cs="Times New Roman"/>
          <w:sz w:val="24"/>
          <w:szCs w:val="24"/>
        </w:rPr>
        <w:t>) e il risultato dell’IBE</w:t>
      </w:r>
      <w:r>
        <w:rPr>
          <w:rFonts w:ascii="Times New Roman" w:hAnsi="Times New Roman" w:cs="Times New Roman"/>
          <w:sz w:val="24"/>
          <w:szCs w:val="24"/>
        </w:rPr>
        <w:t xml:space="preserve"> (Indice Biotico Esteso)</w:t>
      </w:r>
      <w:r w:rsidR="00CD4D38" w:rsidRPr="00CD4D38">
        <w:rPr>
          <w:rFonts w:ascii="Times New Roman" w:hAnsi="Times New Roman" w:cs="Times New Roman"/>
          <w:sz w:val="24"/>
          <w:szCs w:val="24"/>
        </w:rPr>
        <w:t xml:space="preserve">, attribuendo alla sezione in esame, o al tratto da essa rappresentato, </w:t>
      </w:r>
      <w:r w:rsidR="00CD4D38" w:rsidRPr="00C1043C">
        <w:rPr>
          <w:rFonts w:ascii="Times New Roman" w:hAnsi="Times New Roman" w:cs="Times New Roman"/>
          <w:b/>
          <w:sz w:val="24"/>
          <w:szCs w:val="24"/>
        </w:rPr>
        <w:t>il risultato peggiore</w:t>
      </w:r>
      <w:r w:rsidR="00CD4D38" w:rsidRPr="00CD4D38">
        <w:rPr>
          <w:rFonts w:ascii="Times New Roman" w:hAnsi="Times New Roman" w:cs="Times New Roman"/>
          <w:sz w:val="24"/>
          <w:szCs w:val="24"/>
        </w:rPr>
        <w:t xml:space="preserve"> tra quelli ottenuti dalle valutazioni dell’IBE e dei macrodescrittori.</w:t>
      </w:r>
    </w:p>
    <w:p w:rsidR="00CD4D38" w:rsidRPr="00355596" w:rsidRDefault="00CD4D38" w:rsidP="003555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596">
        <w:rPr>
          <w:rFonts w:ascii="Times New Roman" w:hAnsi="Times New Roman" w:cs="Times New Roman"/>
          <w:sz w:val="24"/>
          <w:szCs w:val="24"/>
        </w:rPr>
        <w:t xml:space="preserve">Si ricorda che per </w:t>
      </w:r>
      <w:r w:rsidR="00355596">
        <w:rPr>
          <w:rFonts w:ascii="Times New Roman" w:hAnsi="Times New Roman" w:cs="Times New Roman"/>
          <w:sz w:val="24"/>
          <w:szCs w:val="24"/>
        </w:rPr>
        <w:t xml:space="preserve">BOD5 </w:t>
      </w:r>
      <w:r w:rsidR="00355596" w:rsidRPr="003555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55596" w:rsidRPr="00355596">
        <w:rPr>
          <w:rFonts w:ascii="Times New Roman" w:hAnsi="Times New Roman" w:cs="Times New Roman"/>
          <w:sz w:val="24"/>
          <w:szCs w:val="24"/>
        </w:rPr>
        <w:t>iochemical</w:t>
      </w:r>
      <w:proofErr w:type="spellEnd"/>
      <w:r w:rsidR="00355596" w:rsidRPr="00355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55596" w:rsidRPr="00355596">
        <w:rPr>
          <w:rFonts w:ascii="Times New Roman" w:hAnsi="Times New Roman" w:cs="Times New Roman"/>
          <w:sz w:val="24"/>
          <w:szCs w:val="24"/>
        </w:rPr>
        <w:t>xygen</w:t>
      </w:r>
      <w:proofErr w:type="spellEnd"/>
      <w:r w:rsidR="00355596" w:rsidRPr="00355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55596">
        <w:rPr>
          <w:rFonts w:ascii="Times New Roman" w:hAnsi="Times New Roman" w:cs="Times New Roman"/>
          <w:sz w:val="24"/>
          <w:szCs w:val="24"/>
        </w:rPr>
        <w:t>emand</w:t>
      </w:r>
      <w:proofErr w:type="spellEnd"/>
      <w:r w:rsidR="00355596">
        <w:rPr>
          <w:rFonts w:ascii="Times New Roman" w:hAnsi="Times New Roman" w:cs="Times New Roman"/>
          <w:sz w:val="24"/>
          <w:szCs w:val="24"/>
        </w:rPr>
        <w:t>) si intende la</w:t>
      </w:r>
      <w:r w:rsidR="00355596" w:rsidRPr="00355596">
        <w:rPr>
          <w:rFonts w:ascii="Times New Roman" w:hAnsi="Times New Roman" w:cs="Times New Roman"/>
          <w:sz w:val="24"/>
          <w:szCs w:val="24"/>
        </w:rPr>
        <w:t xml:space="preserve"> domanda di ossigeno biochimico (mg/l di O2) assunto come misura indiretta del carico organico inquinante. Praticamente </w:t>
      </w:r>
      <w:r w:rsidR="003E6AA1">
        <w:rPr>
          <w:rFonts w:ascii="Times New Roman" w:hAnsi="Times New Roman" w:cs="Times New Roman"/>
          <w:sz w:val="24"/>
          <w:szCs w:val="24"/>
        </w:rPr>
        <w:t xml:space="preserve">esprime </w:t>
      </w:r>
      <w:r w:rsidR="00355596" w:rsidRPr="00355596">
        <w:rPr>
          <w:rFonts w:ascii="Times New Roman" w:hAnsi="Times New Roman" w:cs="Times New Roman"/>
          <w:sz w:val="24"/>
          <w:szCs w:val="24"/>
        </w:rPr>
        <w:t>quanto O2 è richiesto dai batteri per biodegradare il carico organico in 5 giorni;</w:t>
      </w:r>
      <w:r w:rsidR="00355596">
        <w:rPr>
          <w:rFonts w:ascii="Times New Roman" w:hAnsi="Times New Roman" w:cs="Times New Roman"/>
          <w:sz w:val="24"/>
          <w:szCs w:val="24"/>
        </w:rPr>
        <w:t xml:space="preserve"> mentre il COD </w:t>
      </w:r>
      <w:r w:rsidR="00355596" w:rsidRPr="003555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55596" w:rsidRPr="00355596">
        <w:rPr>
          <w:rFonts w:ascii="Times New Roman" w:hAnsi="Times New Roman" w:cs="Times New Roman"/>
          <w:sz w:val="24"/>
          <w:szCs w:val="24"/>
        </w:rPr>
        <w:t>hemical</w:t>
      </w:r>
      <w:proofErr w:type="spellEnd"/>
      <w:r w:rsidR="00355596" w:rsidRPr="00355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55596" w:rsidRPr="00355596">
        <w:rPr>
          <w:rFonts w:ascii="Times New Roman" w:hAnsi="Times New Roman" w:cs="Times New Roman"/>
          <w:sz w:val="24"/>
          <w:szCs w:val="24"/>
        </w:rPr>
        <w:t>xygen</w:t>
      </w:r>
      <w:proofErr w:type="spellEnd"/>
      <w:r w:rsidR="00355596" w:rsidRPr="00355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596" w:rsidRPr="0035559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55596" w:rsidRPr="00355596">
        <w:rPr>
          <w:rFonts w:ascii="Times New Roman" w:hAnsi="Times New Roman" w:cs="Times New Roman"/>
          <w:sz w:val="24"/>
          <w:szCs w:val="24"/>
        </w:rPr>
        <w:t>emand</w:t>
      </w:r>
      <w:proofErr w:type="spellEnd"/>
      <w:r w:rsidR="00355596" w:rsidRPr="00355596">
        <w:rPr>
          <w:rFonts w:ascii="Times New Roman" w:hAnsi="Times New Roman" w:cs="Times New Roman"/>
          <w:sz w:val="24"/>
          <w:szCs w:val="24"/>
        </w:rPr>
        <w:t xml:space="preserve">) si riferisce alla domanda di ossigeno chimico (mg/l di O2) assunta come misura indiretta del carico organico inquinante </w:t>
      </w:r>
      <w:r w:rsidR="00C1043C">
        <w:rPr>
          <w:rFonts w:ascii="Times New Roman" w:hAnsi="Times New Roman" w:cs="Times New Roman"/>
          <w:sz w:val="24"/>
          <w:szCs w:val="24"/>
        </w:rPr>
        <w:t>totale (biodegradabile e non). Esso p</w:t>
      </w:r>
      <w:r w:rsidR="00355596" w:rsidRPr="00355596">
        <w:rPr>
          <w:rFonts w:ascii="Times New Roman" w:hAnsi="Times New Roman" w:cs="Times New Roman"/>
          <w:sz w:val="24"/>
          <w:szCs w:val="24"/>
        </w:rPr>
        <w:t>raticamente quanto O2 è necessario per ossidare totalmente il carico organico per via chimica, con un potente ossidante</w:t>
      </w:r>
    </w:p>
    <w:p w:rsidR="00CD4D38" w:rsidRDefault="00CD4D38" w:rsidP="005C00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 IBE, o Indice Biotico Esteso, considera la qualità dell’acqua in base alle comunità degli organismi che ci vivono</w:t>
      </w:r>
      <w:r w:rsidRPr="005C0070">
        <w:rPr>
          <w:rFonts w:ascii="Times New Roman" w:hAnsi="Times New Roman" w:cs="Times New Roman"/>
          <w:sz w:val="24"/>
          <w:szCs w:val="24"/>
        </w:rPr>
        <w:t>.</w:t>
      </w:r>
      <w:r w:rsidR="005C0070" w:rsidRPr="005C0070">
        <w:rPr>
          <w:rFonts w:ascii="Times New Roman" w:hAnsi="Times New Roman" w:cs="Times New Roman"/>
          <w:sz w:val="24"/>
          <w:szCs w:val="24"/>
        </w:rPr>
        <w:t xml:space="preserve"> L'ambiente acquatico costituisce l'habitat naturale di numerose comunità animali e vegetali, tra queste </w:t>
      </w:r>
      <w:r w:rsidR="005C0070">
        <w:rPr>
          <w:rFonts w:ascii="Times New Roman" w:hAnsi="Times New Roman" w:cs="Times New Roman"/>
          <w:sz w:val="24"/>
          <w:szCs w:val="24"/>
        </w:rPr>
        <w:t xml:space="preserve">è importante </w:t>
      </w:r>
      <w:r w:rsidR="005C0070" w:rsidRPr="005C0070">
        <w:rPr>
          <w:rFonts w:ascii="Times New Roman" w:hAnsi="Times New Roman" w:cs="Times New Roman"/>
          <w:sz w:val="24"/>
          <w:szCs w:val="24"/>
        </w:rPr>
        <w:t xml:space="preserve">la comunità dei </w:t>
      </w:r>
      <w:r w:rsidR="005C0070" w:rsidRPr="00C1043C">
        <w:rPr>
          <w:rFonts w:ascii="Times New Roman" w:hAnsi="Times New Roman" w:cs="Times New Roman"/>
          <w:b/>
          <w:sz w:val="24"/>
          <w:szCs w:val="24"/>
        </w:rPr>
        <w:t>macroinvertebrati</w:t>
      </w:r>
      <w:r w:rsidR="005C0070" w:rsidRPr="005C0070">
        <w:rPr>
          <w:rFonts w:ascii="Times New Roman" w:hAnsi="Times New Roman" w:cs="Times New Roman"/>
          <w:sz w:val="24"/>
          <w:szCs w:val="24"/>
        </w:rPr>
        <w:t>, composta da organismi molto diversi (insetti, in particolare larve, crostacei, molluschi, ecc.) ma tutti di piccole dimensioni (da 0.5 mm a qualche cm</w:t>
      </w:r>
      <w:r w:rsidR="005C0070" w:rsidRPr="00967B1F">
        <w:rPr>
          <w:rFonts w:ascii="Times New Roman" w:hAnsi="Times New Roman" w:cs="Times New Roman"/>
          <w:sz w:val="24"/>
          <w:szCs w:val="24"/>
        </w:rPr>
        <w:t>). La maggior parte di queste specie sono specializzate per la vita in un tipo ben definito di habitat. Di conseguenza la diversità della comunità riflette la diversità dei microambienti.</w:t>
      </w:r>
      <w:r w:rsidR="00967B1F" w:rsidRPr="00967B1F">
        <w:rPr>
          <w:rFonts w:ascii="Times New Roman" w:hAnsi="Times New Roman" w:cs="Times New Roman"/>
          <w:sz w:val="24"/>
          <w:szCs w:val="24"/>
        </w:rPr>
        <w:t xml:space="preserve"> Un corso d'acqua non inquinato è caratterizzato dalla presenza di specie sensibili all'inquinamento ed alla carenza di ossigeno, in quello inquinato invece riusciranno a vivere solo le specie più resistenti. Quindi la biodiversità dei macroinvertebrati dipende direttamente dalla qualità dell'acqua e dalla diversità e qualità del substrato, cioè dallo stato più o meno naturale del corso d'acqua. Una degradazione (o un risanamento) della qualità biologica di un corso d'acqua si ripercuote così rapidamente sulla diversità dei macroinvertebrati.</w:t>
      </w:r>
    </w:p>
    <w:p w:rsidR="003A6BF7" w:rsidRDefault="003A6BF7" w:rsidP="005C00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B8C">
        <w:rPr>
          <w:rFonts w:ascii="Times New Roman" w:hAnsi="Times New Roman" w:cs="Times New Roman"/>
          <w:b/>
          <w:sz w:val="24"/>
          <w:szCs w:val="24"/>
        </w:rPr>
        <w:t>L'</w:t>
      </w:r>
      <w:proofErr w:type="spellStart"/>
      <w:r w:rsidRPr="00D70B8C">
        <w:rPr>
          <w:rFonts w:ascii="Times New Roman" w:hAnsi="Times New Roman" w:cs="Times New Roman"/>
          <w:b/>
          <w:sz w:val="24"/>
          <w:szCs w:val="24"/>
        </w:rPr>
        <w:t>I.B.E.</w:t>
      </w:r>
      <w:proofErr w:type="spellEnd"/>
      <w:r w:rsidRPr="00D70B8C">
        <w:rPr>
          <w:rFonts w:ascii="Times New Roman" w:hAnsi="Times New Roman" w:cs="Times New Roman"/>
          <w:b/>
          <w:sz w:val="24"/>
          <w:szCs w:val="24"/>
        </w:rPr>
        <w:t xml:space="preserve"> classifica la qualità di un fi</w:t>
      </w:r>
      <w:r w:rsidR="007566A5" w:rsidRPr="00D70B8C">
        <w:rPr>
          <w:rFonts w:ascii="Times New Roman" w:hAnsi="Times New Roman" w:cs="Times New Roman"/>
          <w:b/>
          <w:sz w:val="24"/>
          <w:szCs w:val="24"/>
        </w:rPr>
        <w:t>ume su di una scala che va da 13-14</w:t>
      </w:r>
      <w:r w:rsidRPr="00D70B8C">
        <w:rPr>
          <w:rFonts w:ascii="Times New Roman" w:hAnsi="Times New Roman" w:cs="Times New Roman"/>
          <w:b/>
          <w:sz w:val="24"/>
          <w:szCs w:val="24"/>
        </w:rPr>
        <w:t xml:space="preserve"> (qualità ottimale) a 1 (massimo degrado).</w:t>
      </w:r>
      <w:r w:rsidRPr="003A6BF7">
        <w:rPr>
          <w:rFonts w:ascii="Times New Roman" w:hAnsi="Times New Roman" w:cs="Times New Roman"/>
          <w:sz w:val="24"/>
          <w:szCs w:val="24"/>
        </w:rPr>
        <w:t xml:space="preserve"> Per calcolare questo indice si utilizza una </w:t>
      </w:r>
      <w:hyperlink r:id="rId17" w:history="1">
        <w:r w:rsidRPr="003A6BF7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tabella</w:t>
        </w:r>
      </w:hyperlink>
      <w:r w:rsidRPr="003A6BF7">
        <w:rPr>
          <w:rFonts w:ascii="Times New Roman" w:hAnsi="Times New Roman" w:cs="Times New Roman"/>
          <w:sz w:val="24"/>
          <w:szCs w:val="24"/>
        </w:rPr>
        <w:t xml:space="preserve"> a due entrate in cui nella prima entrata orizzontale, di </w:t>
      </w:r>
      <w:r w:rsidR="001D5CCA">
        <w:rPr>
          <w:rFonts w:ascii="Times New Roman" w:hAnsi="Times New Roman" w:cs="Times New Roman"/>
          <w:sz w:val="24"/>
          <w:szCs w:val="24"/>
        </w:rPr>
        <w:t>tipo qualitativo, sono riportati</w:t>
      </w:r>
      <w:r w:rsidRPr="003A6BF7">
        <w:rPr>
          <w:rFonts w:ascii="Times New Roman" w:hAnsi="Times New Roman" w:cs="Times New Roman"/>
          <w:sz w:val="24"/>
          <w:szCs w:val="24"/>
        </w:rPr>
        <w:t xml:space="preserve"> </w:t>
      </w:r>
      <w:r w:rsidR="001D5CCA">
        <w:rPr>
          <w:rFonts w:ascii="Times New Roman" w:hAnsi="Times New Roman" w:cs="Times New Roman"/>
          <w:sz w:val="24"/>
          <w:szCs w:val="24"/>
        </w:rPr>
        <w:t>i Gruppi Faunistici che dall'alto al basso</w:t>
      </w:r>
      <w:r w:rsidRPr="003A6BF7">
        <w:rPr>
          <w:rFonts w:ascii="Times New Roman" w:hAnsi="Times New Roman" w:cs="Times New Roman"/>
          <w:sz w:val="24"/>
          <w:szCs w:val="24"/>
        </w:rPr>
        <w:t xml:space="preserve"> segnalano una minore sensibilità all'inquinamento; nella seconda entrata, verticale, si inseriscono la quantità di Unità Sistematiche</w:t>
      </w:r>
      <w:r w:rsidR="001D5CCA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3A6BF7">
        <w:rPr>
          <w:rFonts w:ascii="Times New Roman" w:hAnsi="Times New Roman" w:cs="Times New Roman"/>
          <w:sz w:val="24"/>
          <w:szCs w:val="24"/>
        </w:rPr>
        <w:t xml:space="preserve"> trovate. L'incrocio tra l'ingresso orizzontale e verticale si traduce in un giudizio numerico indicante la risposta della comunità di organismi alla qualità dell'ambiente fluviale.</w:t>
      </w:r>
    </w:p>
    <w:p w:rsidR="003A6BF7" w:rsidRPr="00707346" w:rsidRDefault="00707346" w:rsidP="007073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346">
        <w:rPr>
          <w:rFonts w:ascii="Times New Roman" w:hAnsi="Times New Roman" w:cs="Times New Roman"/>
          <w:sz w:val="24"/>
          <w:szCs w:val="24"/>
        </w:rPr>
        <w:lastRenderedPageBreak/>
        <w:t xml:space="preserve">Per convenzione internazionale e per rappresentare in modo sintetico ed efficace la qualità dei diversi tratti dei corsi d'acqua, questa scala è stata suddivisa in </w:t>
      </w:r>
      <w:hyperlink r:id="rId18" w:history="1">
        <w:r w:rsidRPr="00707346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classi di qualità</w:t>
        </w:r>
      </w:hyperlink>
      <w:r w:rsidRPr="00707346">
        <w:rPr>
          <w:rFonts w:ascii="Times New Roman" w:hAnsi="Times New Roman" w:cs="Times New Roman"/>
          <w:sz w:val="24"/>
          <w:szCs w:val="24"/>
        </w:rPr>
        <w:t>, ciascuna rappresentabile in cartografia con un colore.</w:t>
      </w:r>
    </w:p>
    <w:p w:rsidR="003A6BF7" w:rsidRPr="00707346" w:rsidRDefault="00707346" w:rsidP="005C00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346">
        <w:rPr>
          <w:rFonts w:ascii="Times New Roman" w:hAnsi="Times New Roman" w:cs="Times New Roman"/>
          <w:sz w:val="24"/>
          <w:szCs w:val="24"/>
        </w:rPr>
        <w:t>Il principio su cui si fonda questa metodica è basato sul fatto che un corso d'acqua può definirsi di buona qualità quando riesce a conservare le comunità di organismi che normalmente e naturalmente dovrebbero vivere in quell'ambiente.</w:t>
      </w:r>
    </w:p>
    <w:p w:rsidR="007566A5" w:rsidRPr="007566A5" w:rsidRDefault="007566A5" w:rsidP="003856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566A5">
        <w:rPr>
          <w:rFonts w:ascii="Times New Roman" w:hAnsi="Times New Roman" w:cs="Times New Roman"/>
          <w:i/>
          <w:sz w:val="24"/>
          <w:szCs w:val="24"/>
        </w:rPr>
        <w:t>Tabella di attribuzione dell’indice IBE che dipende dai gruppi faunistici e dalla loro abbondanza in termini di US</w:t>
      </w:r>
    </w:p>
    <w:tbl>
      <w:tblPr>
        <w:tblW w:w="78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740"/>
        <w:gridCol w:w="17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A6BF7" w:rsidRPr="00641919" w:rsidTr="002E68FF">
        <w:trPr>
          <w:tblCellSpacing w:w="0" w:type="dxa"/>
          <w:jc w:val="center"/>
        </w:trPr>
        <w:tc>
          <w:tcPr>
            <w:tcW w:w="34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Gruppi faunistici che determinano con la loro presenza l’ingresso orizzontale in tabella (primo ingresso) </w:t>
            </w:r>
          </w:p>
        </w:tc>
        <w:tc>
          <w:tcPr>
            <w:tcW w:w="43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Numero delle Unità Sistematiche (US)</w:t>
            </w: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br/>
              <w:t xml:space="preserve">costituenti la comunità (secondo ingresso)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0-1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2-5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6-10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11-15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16-20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21-25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26-30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31-35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36-  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Plecotteri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Più di una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12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13*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14*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Una sola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12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13*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Efemerotteri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(tranne Fam. BETIDAE e CAENIDAE)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Più di una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12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Una sola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Tricotteri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Più di una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Una sola US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4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Gammaridi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 le US</w:t>
            </w: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br/>
              <w:t xml:space="preserve">sopra assenti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4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Asellidi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 le US</w:t>
            </w: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br/>
              <w:t xml:space="preserve">sopra assenti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3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4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6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7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8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FF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9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Oligocheti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o </w:t>
            </w: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Chironomidi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 le US</w:t>
            </w: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br/>
              <w:t xml:space="preserve">sopra assenti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3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4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5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  <w:tr w:rsidR="003A6BF7" w:rsidRPr="00641919" w:rsidTr="002E68FF">
        <w:trPr>
          <w:tblCellSpacing w:w="0" w:type="dxa"/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Tutti i </w:t>
            </w:r>
            <w:proofErr w:type="spellStart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taxa</w:t>
            </w:r>
            <w:proofErr w:type="spellEnd"/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br/>
              <w:t xml:space="preserve">precedenti assenti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A6BF7" w:rsidRPr="00641919" w:rsidRDefault="003A6BF7" w:rsidP="002E6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Possono esserci organismi a respirazione aerea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0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3A6BF7" w:rsidRPr="00641919" w:rsidRDefault="003A6BF7" w:rsidP="002E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41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--- </w:t>
            </w:r>
          </w:p>
        </w:tc>
      </w:tr>
    </w:tbl>
    <w:p w:rsidR="00E00AD3" w:rsidRDefault="00E00AD3" w:rsidP="007566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66A5" w:rsidRPr="00480E23" w:rsidRDefault="007566A5" w:rsidP="007566A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0E23">
        <w:rPr>
          <w:rFonts w:ascii="Times New Roman" w:hAnsi="Times New Roman" w:cs="Times New Roman"/>
          <w:i/>
          <w:sz w:val="24"/>
          <w:szCs w:val="24"/>
        </w:rPr>
        <w:t>Tabella di conversione dell’indice IBE in classi di qualità con attribuzione del colore di riferimento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7566A5" w:rsidTr="00E66491"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CLASSI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QUALITÀ</w:t>
            </w:r>
            <w:r>
              <w:t xml:space="preserve"> </w:t>
            </w:r>
          </w:p>
        </w:tc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VALOREDI IBE</w:t>
            </w:r>
            <w:r>
              <w:t xml:space="preserve"> </w:t>
            </w:r>
          </w:p>
        </w:tc>
        <w:tc>
          <w:tcPr>
            <w:tcW w:w="2445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GIUDIZIO</w:t>
            </w:r>
            <w:r>
              <w:t xml:space="preserve"> </w:t>
            </w:r>
          </w:p>
        </w:tc>
        <w:tc>
          <w:tcPr>
            <w:tcW w:w="2445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COLORE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RIFERIMENTO</w:t>
            </w:r>
            <w:r>
              <w:t xml:space="preserve"> </w:t>
            </w:r>
          </w:p>
        </w:tc>
      </w:tr>
      <w:tr w:rsidR="007566A5" w:rsidTr="00E66491"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Classe I </w:t>
            </w:r>
          </w:p>
        </w:tc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10-11-12 </w:t>
            </w:r>
          </w:p>
        </w:tc>
        <w:tc>
          <w:tcPr>
            <w:tcW w:w="2445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Ambiente non inquinato o non alterato in modo sensibile </w:t>
            </w:r>
          </w:p>
        </w:tc>
        <w:tc>
          <w:tcPr>
            <w:tcW w:w="2445" w:type="dxa"/>
            <w:shd w:val="clear" w:color="auto" w:fill="00FFFF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Azzurro </w:t>
            </w:r>
          </w:p>
        </w:tc>
      </w:tr>
      <w:tr w:rsidR="007566A5" w:rsidTr="00E66491"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Classe II </w:t>
            </w:r>
          </w:p>
        </w:tc>
        <w:tc>
          <w:tcPr>
            <w:tcW w:w="2444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8-9 </w:t>
            </w:r>
          </w:p>
        </w:tc>
        <w:tc>
          <w:tcPr>
            <w:tcW w:w="2445" w:type="dxa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Ambiente in cui sono evidenti alcuni effetti dell’inquinamento </w:t>
            </w:r>
          </w:p>
        </w:tc>
        <w:tc>
          <w:tcPr>
            <w:tcW w:w="2445" w:type="dxa"/>
            <w:shd w:val="clear" w:color="auto" w:fill="00FF00"/>
            <w:vAlign w:val="center"/>
          </w:tcPr>
          <w:p w:rsidR="007566A5" w:rsidRDefault="007566A5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Verde </w:t>
            </w:r>
          </w:p>
        </w:tc>
      </w:tr>
      <w:tr w:rsidR="00E66491" w:rsidTr="00E66491">
        <w:tc>
          <w:tcPr>
            <w:tcW w:w="2444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Classe III </w:t>
            </w:r>
          </w:p>
        </w:tc>
        <w:tc>
          <w:tcPr>
            <w:tcW w:w="2444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6-7 </w:t>
            </w:r>
          </w:p>
        </w:tc>
        <w:tc>
          <w:tcPr>
            <w:tcW w:w="2445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Ambiente inquinato 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Giallo </w:t>
            </w:r>
          </w:p>
        </w:tc>
      </w:tr>
      <w:tr w:rsidR="00E66491" w:rsidTr="00E66491">
        <w:tc>
          <w:tcPr>
            <w:tcW w:w="2444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Classe IV </w:t>
            </w:r>
          </w:p>
        </w:tc>
        <w:tc>
          <w:tcPr>
            <w:tcW w:w="2444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4-5 </w:t>
            </w:r>
          </w:p>
        </w:tc>
        <w:tc>
          <w:tcPr>
            <w:tcW w:w="2445" w:type="dxa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Ambiente molto inquinato </w:t>
            </w:r>
          </w:p>
        </w:tc>
        <w:tc>
          <w:tcPr>
            <w:tcW w:w="2445" w:type="dxa"/>
            <w:shd w:val="clear" w:color="auto" w:fill="FFC000"/>
            <w:vAlign w:val="center"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Arancione </w:t>
            </w:r>
          </w:p>
        </w:tc>
      </w:tr>
      <w:tr w:rsidR="00E66491" w:rsidTr="00E66491">
        <w:trPr>
          <w:trHeight w:val="720"/>
        </w:trPr>
        <w:tc>
          <w:tcPr>
            <w:tcW w:w="2444" w:type="dxa"/>
            <w:hideMark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Classe V </w:t>
            </w:r>
          </w:p>
        </w:tc>
        <w:tc>
          <w:tcPr>
            <w:tcW w:w="2444" w:type="dxa"/>
            <w:hideMark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1-2-3 </w:t>
            </w:r>
          </w:p>
        </w:tc>
        <w:tc>
          <w:tcPr>
            <w:tcW w:w="2445" w:type="dxa"/>
            <w:hideMark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Ambiente fortemente inquinato </w:t>
            </w:r>
          </w:p>
        </w:tc>
        <w:tc>
          <w:tcPr>
            <w:tcW w:w="2445" w:type="dxa"/>
            <w:shd w:val="clear" w:color="auto" w:fill="FF0000"/>
            <w:hideMark/>
          </w:tcPr>
          <w:p w:rsidR="00E66491" w:rsidRDefault="00E66491" w:rsidP="002E68FF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Rosso </w:t>
            </w:r>
          </w:p>
        </w:tc>
      </w:tr>
    </w:tbl>
    <w:p w:rsidR="00413A22" w:rsidRDefault="00413A22" w:rsidP="005C00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AD3" w:rsidRDefault="00BB69B5" w:rsidP="005C00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ulteriori approfondimenti: </w:t>
      </w:r>
      <w:r w:rsidRPr="00BB69B5">
        <w:rPr>
          <w:rFonts w:ascii="Times New Roman" w:hAnsi="Times New Roman" w:cs="Times New Roman"/>
          <w:sz w:val="24"/>
          <w:szCs w:val="24"/>
        </w:rPr>
        <w:t>http://www.oocities.org/it/liceocurcio/metodoibe.htm</w:t>
      </w:r>
    </w:p>
    <w:p w:rsidR="00413A22" w:rsidRDefault="00C1043C" w:rsidP="00413A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ESRI Arrowhead" w:hAnsi="ESRI Arrowhead" w:cs="Times New Roman"/>
          <w:sz w:val="24"/>
          <w:szCs w:val="24"/>
        </w:rPr>
        <w:lastRenderedPageBreak/>
        <w:t xml:space="preserve">&lt; </w:t>
      </w:r>
      <w:r w:rsidR="00413A22">
        <w:rPr>
          <w:rFonts w:ascii="Times New Roman" w:hAnsi="Times New Roman" w:cs="Times New Roman"/>
          <w:sz w:val="24"/>
          <w:szCs w:val="24"/>
        </w:rPr>
        <w:t xml:space="preserve">La classificazione dello </w:t>
      </w:r>
      <w:r w:rsidR="00413A22" w:rsidRPr="00554D87">
        <w:rPr>
          <w:rFonts w:ascii="Times New Roman" w:hAnsi="Times New Roman" w:cs="Times New Roman"/>
          <w:b/>
          <w:i/>
          <w:sz w:val="24"/>
          <w:szCs w:val="24"/>
        </w:rPr>
        <w:t>stato ambientale</w:t>
      </w:r>
      <w:r w:rsidR="00413A22">
        <w:rPr>
          <w:rFonts w:ascii="Times New Roman" w:hAnsi="Times New Roman" w:cs="Times New Roman"/>
          <w:sz w:val="24"/>
          <w:szCs w:val="24"/>
        </w:rPr>
        <w:t xml:space="preserve"> deriva dal </w:t>
      </w:r>
      <w:r w:rsidR="00413A22" w:rsidRPr="00413A22">
        <w:rPr>
          <w:rFonts w:ascii="Times New Roman" w:hAnsi="Times New Roman" w:cs="Times New Roman"/>
          <w:sz w:val="24"/>
          <w:szCs w:val="24"/>
        </w:rPr>
        <w:t xml:space="preserve">confronto </w:t>
      </w:r>
      <w:r w:rsidR="00413A22">
        <w:rPr>
          <w:rFonts w:ascii="Times New Roman" w:hAnsi="Times New Roman" w:cs="Times New Roman"/>
          <w:sz w:val="24"/>
          <w:szCs w:val="24"/>
        </w:rPr>
        <w:t xml:space="preserve">dei </w:t>
      </w:r>
      <w:r w:rsidR="00413A22" w:rsidRPr="00413A22">
        <w:rPr>
          <w:rFonts w:ascii="Times New Roman" w:hAnsi="Times New Roman" w:cs="Times New Roman"/>
          <w:sz w:val="24"/>
          <w:szCs w:val="24"/>
        </w:rPr>
        <w:t>dati relativi alle concentrazioni dei principali microinquinanti chimici</w:t>
      </w:r>
      <w:r w:rsidR="00D70B8C">
        <w:rPr>
          <w:rFonts w:ascii="Times New Roman" w:hAnsi="Times New Roman" w:cs="Times New Roman"/>
          <w:sz w:val="24"/>
          <w:szCs w:val="24"/>
        </w:rPr>
        <w:t xml:space="preserve"> (Trattasi di metalli pesanti, arsenico, mercurio ecc.)</w:t>
      </w:r>
      <w:r w:rsidR="00413A22">
        <w:rPr>
          <w:rFonts w:ascii="Times New Roman" w:hAnsi="Times New Roman" w:cs="Times New Roman"/>
          <w:sz w:val="24"/>
          <w:szCs w:val="24"/>
        </w:rPr>
        <w:t xml:space="preserve"> con l’indice dello stato ecologico.</w:t>
      </w:r>
      <w:r w:rsidR="0048116D">
        <w:rPr>
          <w:rFonts w:ascii="Times New Roman" w:hAnsi="Times New Roman" w:cs="Times New Roman"/>
          <w:sz w:val="24"/>
          <w:szCs w:val="24"/>
        </w:rPr>
        <w:t>.</w:t>
      </w:r>
    </w:p>
    <w:p w:rsidR="0048116D" w:rsidRPr="00093D78" w:rsidRDefault="00093D78" w:rsidP="00093D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stato ambientale viene classificato con i criteri riportati nella tabella seguente, così come prescritto </w:t>
      </w:r>
      <w:r w:rsidRPr="00093D78">
        <w:rPr>
          <w:rFonts w:ascii="Times New Roman" w:hAnsi="Times New Roman" w:cs="Times New Roman"/>
          <w:sz w:val="24"/>
          <w:szCs w:val="24"/>
        </w:rPr>
        <w:t>dal</w:t>
      </w:r>
      <w:r w:rsidR="001D5CC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D5CCA">
        <w:rPr>
          <w:rFonts w:ascii="Times New Roman" w:hAnsi="Times New Roman" w:cs="Times New Roman"/>
          <w:iCs/>
          <w:sz w:val="24"/>
          <w:szCs w:val="24"/>
        </w:rPr>
        <w:t>D.Lgs.</w:t>
      </w:r>
      <w:proofErr w:type="spellEnd"/>
      <w:r w:rsidR="001D5CCA">
        <w:rPr>
          <w:rFonts w:ascii="Times New Roman" w:hAnsi="Times New Roman" w:cs="Times New Roman"/>
          <w:iCs/>
          <w:sz w:val="24"/>
          <w:szCs w:val="24"/>
        </w:rPr>
        <w:t xml:space="preserve"> n. 152/2006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8116D" w:rsidRDefault="0048116D" w:rsidP="004811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371"/>
      </w:tblGrid>
      <w:tr w:rsidR="0048116D" w:rsidTr="0048116D">
        <w:tc>
          <w:tcPr>
            <w:tcW w:w="2376" w:type="dxa"/>
            <w:vAlign w:val="center"/>
          </w:tcPr>
          <w:p w:rsidR="0048116D" w:rsidRDefault="0048116D" w:rsidP="0048116D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ELEVATO</w:t>
            </w:r>
          </w:p>
        </w:tc>
        <w:tc>
          <w:tcPr>
            <w:tcW w:w="7371" w:type="dxa"/>
          </w:tcPr>
          <w:p w:rsidR="0048116D" w:rsidRDefault="0048116D" w:rsidP="0048116D">
            <w:pPr>
              <w:autoSpaceDE w:val="0"/>
              <w:autoSpaceDN w:val="0"/>
              <w:adjustRightInd w:val="0"/>
              <w:jc w:val="both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Non si rilevano alterazioni dei valori di qualità degli elementi chimico-fisici ed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idromorfologici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per quel dato tipo di corpo idrico in dipendenza degli impatti antropici, o sono minime rispetto ai valori normalmente associati allo stesso ecotipo in condizioni indisturbate. La qualità biologica sarà caratterizzata da una composizione e un’abbondanza di specie corrispondente totalmente o quasi alle condizioni normalmente associate allo stesso ecotipo La presenza di microinquinanti, di sintesi e non di sintesi, è paragonabile alle concentrazioni di fondo rilevabili nei corpi idrici non influenzati da alcuna pressione antropica.</w:t>
            </w:r>
          </w:p>
        </w:tc>
      </w:tr>
      <w:tr w:rsidR="0048116D" w:rsidTr="00C357E0">
        <w:tc>
          <w:tcPr>
            <w:tcW w:w="2376" w:type="dxa"/>
            <w:vAlign w:val="center"/>
          </w:tcPr>
          <w:p w:rsidR="0048116D" w:rsidRPr="00C357E0" w:rsidRDefault="0048116D" w:rsidP="00C357E0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Cs/>
              </w:rPr>
            </w:pPr>
            <w:r w:rsidRPr="00C357E0">
              <w:rPr>
                <w:rFonts w:ascii="Arial-ItalicMT" w:hAnsi="Arial-ItalicMT" w:cs="Arial-ItalicMT"/>
                <w:iCs/>
              </w:rPr>
              <w:t>BUONO</w:t>
            </w:r>
          </w:p>
        </w:tc>
        <w:tc>
          <w:tcPr>
            <w:tcW w:w="7371" w:type="dxa"/>
          </w:tcPr>
          <w:p w:rsidR="0048116D" w:rsidRDefault="0048116D" w:rsidP="0048116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 valori degli elementi della qualità biologica per quel tipo di corpo idrico mostrano bassi livelli di alterazione derivanti dall’attività umana e si discostano solo leggermente da quelli normalmente associati allo stesso ecotipo in condizioni non disturbate.</w:t>
            </w:r>
          </w:p>
          <w:p w:rsidR="0048116D" w:rsidRDefault="0048116D" w:rsidP="0048116D">
            <w:pPr>
              <w:autoSpaceDE w:val="0"/>
              <w:autoSpaceDN w:val="0"/>
              <w:adjustRightInd w:val="0"/>
              <w:jc w:val="both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 presenza di microinquinanti, di sintesi e non di sintesi, è in concentrazioni da non comportare effetti a breve e lungo termine sulle comunità biologiche associate al corpo idrico di riferimento.</w:t>
            </w:r>
          </w:p>
        </w:tc>
      </w:tr>
      <w:tr w:rsidR="0048116D" w:rsidTr="00C357E0">
        <w:tc>
          <w:tcPr>
            <w:tcW w:w="2376" w:type="dxa"/>
            <w:vAlign w:val="center"/>
          </w:tcPr>
          <w:p w:rsidR="0048116D" w:rsidRPr="00C357E0" w:rsidRDefault="0048116D" w:rsidP="00C357E0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Cs/>
              </w:rPr>
            </w:pPr>
            <w:r w:rsidRPr="00C357E0">
              <w:rPr>
                <w:rFonts w:ascii="Arial-ItalicMT" w:hAnsi="Arial-ItalicMT" w:cs="Arial-ItalicMT"/>
                <w:iCs/>
              </w:rPr>
              <w:t>SUFFICIENTE</w:t>
            </w:r>
          </w:p>
        </w:tc>
        <w:tc>
          <w:tcPr>
            <w:tcW w:w="7371" w:type="dxa"/>
          </w:tcPr>
          <w:p w:rsidR="0048116D" w:rsidRDefault="0048116D" w:rsidP="0048116D">
            <w:pPr>
              <w:autoSpaceDE w:val="0"/>
              <w:autoSpaceDN w:val="0"/>
              <w:adjustRightInd w:val="0"/>
              <w:jc w:val="both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 valori degli elementi della qualità biologica per quel tipo di corpo idrico si discostano moderatamente da quelli di norma associati allo stesso ecotipo in condizioni non disturbate. I valori mostrano segni di alterazione derivanti dall’attività umana e sono sensibilmente più disturbati che nella condizione di “buono stato”. La presenza di microinquinanti, di sintesi e non di sintesi, è in concentrazioni da non comportare effetti a breve e lungo termine sulle comunità biologiche associate al corpo idrico di riferimento.</w:t>
            </w:r>
          </w:p>
        </w:tc>
      </w:tr>
      <w:tr w:rsidR="0048116D" w:rsidTr="00C357E0">
        <w:tc>
          <w:tcPr>
            <w:tcW w:w="2376" w:type="dxa"/>
            <w:vAlign w:val="center"/>
          </w:tcPr>
          <w:p w:rsidR="0048116D" w:rsidRPr="00C357E0" w:rsidRDefault="0048116D" w:rsidP="00C357E0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Cs/>
              </w:rPr>
            </w:pPr>
            <w:r w:rsidRPr="00C357E0">
              <w:rPr>
                <w:rFonts w:ascii="Arial-ItalicMT" w:hAnsi="Arial-ItalicMT" w:cs="Arial-ItalicMT"/>
                <w:iCs/>
              </w:rPr>
              <w:t>SCADENTE</w:t>
            </w:r>
          </w:p>
        </w:tc>
        <w:tc>
          <w:tcPr>
            <w:tcW w:w="7371" w:type="dxa"/>
          </w:tcPr>
          <w:p w:rsidR="0048116D" w:rsidRDefault="0048116D" w:rsidP="00C357E0">
            <w:pPr>
              <w:autoSpaceDE w:val="0"/>
              <w:autoSpaceDN w:val="0"/>
              <w:adjustRightInd w:val="0"/>
              <w:jc w:val="both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Si rilevano alterazioni considerevoli dei valori degli elementi di qualità biologica del tipo di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corpo idrico superficiale, e le comunità biologiche interessate si discostano sostanzialmente da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quelle di norma associate al tipo di corpo idrico superficiale inalterato.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La presenza di microinquinanti, di sintesi e non di sintesi, è in concentrazioni da comportare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effetti a medio e lungo termine sulle comunità biologiche associate al corpo idrico di riferimento</w:t>
            </w:r>
          </w:p>
        </w:tc>
      </w:tr>
      <w:tr w:rsidR="0048116D" w:rsidTr="00C357E0">
        <w:tc>
          <w:tcPr>
            <w:tcW w:w="2376" w:type="dxa"/>
            <w:vAlign w:val="center"/>
          </w:tcPr>
          <w:p w:rsidR="0048116D" w:rsidRPr="00C357E0" w:rsidRDefault="0048116D" w:rsidP="00C357E0">
            <w:pPr>
              <w:autoSpaceDE w:val="0"/>
              <w:autoSpaceDN w:val="0"/>
              <w:adjustRightInd w:val="0"/>
              <w:jc w:val="center"/>
              <w:rPr>
                <w:rFonts w:ascii="Arial-ItalicMT" w:hAnsi="Arial-ItalicMT" w:cs="Arial-ItalicMT"/>
                <w:iCs/>
              </w:rPr>
            </w:pPr>
            <w:r w:rsidRPr="00C357E0">
              <w:rPr>
                <w:rFonts w:ascii="Arial-ItalicMT" w:hAnsi="Arial-ItalicMT" w:cs="Arial-ItalicMT"/>
                <w:iCs/>
              </w:rPr>
              <w:t>PESSIMO</w:t>
            </w:r>
          </w:p>
        </w:tc>
        <w:tc>
          <w:tcPr>
            <w:tcW w:w="7371" w:type="dxa"/>
          </w:tcPr>
          <w:p w:rsidR="0048116D" w:rsidRDefault="0048116D" w:rsidP="00C357E0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 valori degli elementi di qualità biologica del tipo di corpo idrico superficiale presentano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alterazioni gravi e mancano ampie porzioni delle comunità biologiche di norma associate al tipo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di corpo idrico superficiale inalterato.</w:t>
            </w:r>
          </w:p>
          <w:p w:rsidR="0048116D" w:rsidRDefault="0048116D" w:rsidP="00C357E0">
            <w:pPr>
              <w:autoSpaceDE w:val="0"/>
              <w:autoSpaceDN w:val="0"/>
              <w:adjustRightInd w:val="0"/>
              <w:jc w:val="both"/>
              <w:rPr>
                <w:rFonts w:ascii="Arial-ItalicMT" w:hAnsi="Arial-ItalicMT" w:cs="Arial-ItalicMT"/>
                <w:i/>
                <w:iCs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 presenza di microinquinanti, di sintesi e non di sintesi, è in concentrazioni tali da causare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gravi effetti a breve e lungo termine sulle comunità biologiche associate al corpo idrico di</w:t>
            </w:r>
            <w:r w:rsidR="00C357E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riferimento.</w:t>
            </w:r>
          </w:p>
        </w:tc>
      </w:tr>
    </w:tbl>
    <w:p w:rsidR="0048116D" w:rsidRDefault="0048116D" w:rsidP="0048116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Times New Roman" w:hAnsi="Times New Roman" w:cs="Times New Roman"/>
          <w:sz w:val="24"/>
          <w:szCs w:val="24"/>
        </w:rPr>
        <w:t>Dalle classificazioni relative al biennio 2001-2002, risulta che più del 20% delle sezioni di corso</w:t>
      </w:r>
      <w:r w:rsidR="0046232F">
        <w:rPr>
          <w:rFonts w:ascii="Times New Roman" w:hAnsi="Times New Roman" w:cs="Times New Roman"/>
          <w:sz w:val="24"/>
          <w:szCs w:val="24"/>
        </w:rPr>
        <w:t xml:space="preserve"> </w:t>
      </w:r>
      <w:r w:rsidRPr="00FD0425">
        <w:rPr>
          <w:rFonts w:ascii="Times New Roman" w:hAnsi="Times New Roman" w:cs="Times New Roman"/>
          <w:sz w:val="24"/>
          <w:szCs w:val="24"/>
        </w:rPr>
        <w:t>d’acqua monitorate nella Regione Veneto si trovano in uno stato ambientale “Scadente”. Più</w:t>
      </w:r>
      <w:r w:rsidR="0046232F">
        <w:rPr>
          <w:rFonts w:ascii="Times New Roman" w:hAnsi="Times New Roman" w:cs="Times New Roman"/>
          <w:sz w:val="24"/>
          <w:szCs w:val="24"/>
        </w:rPr>
        <w:t xml:space="preserve"> </w:t>
      </w:r>
      <w:r w:rsidRPr="00FD0425">
        <w:rPr>
          <w:rFonts w:ascii="Times New Roman" w:hAnsi="Times New Roman" w:cs="Times New Roman"/>
          <w:sz w:val="24"/>
          <w:szCs w:val="24"/>
        </w:rPr>
        <w:t>precisamente sono: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Fiume </w:t>
      </w:r>
      <w:proofErr w:type="spellStart"/>
      <w:r w:rsidRPr="00FD0425">
        <w:rPr>
          <w:rFonts w:ascii="Times New Roman" w:hAnsi="Times New Roman" w:cs="Times New Roman"/>
          <w:sz w:val="24"/>
          <w:szCs w:val="24"/>
        </w:rPr>
        <w:t>Fratta-Gorzone</w:t>
      </w:r>
      <w:proofErr w:type="spellEnd"/>
      <w:r w:rsidRPr="00FD0425">
        <w:rPr>
          <w:rFonts w:ascii="Times New Roman" w:hAnsi="Times New Roman" w:cs="Times New Roman"/>
          <w:sz w:val="24"/>
          <w:szCs w:val="24"/>
        </w:rPr>
        <w:t xml:space="preserve"> ed alcuni suoi affluenti;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tratto terminale del </w:t>
      </w:r>
      <w:proofErr w:type="spellStart"/>
      <w:r w:rsidRPr="00FD0425">
        <w:rPr>
          <w:rFonts w:ascii="Times New Roman" w:hAnsi="Times New Roman" w:cs="Times New Roman"/>
          <w:sz w:val="24"/>
          <w:szCs w:val="24"/>
        </w:rPr>
        <w:t>Bacchiglione</w:t>
      </w:r>
      <w:proofErr w:type="spellEnd"/>
      <w:r w:rsidRPr="00FD0425">
        <w:rPr>
          <w:rFonts w:ascii="Times New Roman" w:hAnsi="Times New Roman" w:cs="Times New Roman"/>
          <w:sz w:val="24"/>
          <w:szCs w:val="24"/>
        </w:rPr>
        <w:t>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tratto terminale dell’Adige (anche se in questo caso è disponibile un solo dato di IBE per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Times New Roman" w:hAnsi="Times New Roman" w:cs="Times New Roman"/>
          <w:sz w:val="24"/>
          <w:szCs w:val="24"/>
        </w:rPr>
        <w:t>ciascuno dei due anni);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tratto terminale del Piave;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alcuni tratti di corsi d’acqua del Bacino Scolante in Laguna di Venezia (F. Zero, </w:t>
      </w:r>
      <w:proofErr w:type="spellStart"/>
      <w:r w:rsidRPr="00FD0425">
        <w:rPr>
          <w:rFonts w:ascii="Times New Roman" w:hAnsi="Times New Roman" w:cs="Times New Roman"/>
          <w:sz w:val="24"/>
          <w:szCs w:val="24"/>
        </w:rPr>
        <w:t>Marzenego</w:t>
      </w:r>
      <w:proofErr w:type="spellEnd"/>
      <w:r w:rsidRPr="00FD0425">
        <w:rPr>
          <w:rFonts w:ascii="Times New Roman" w:hAnsi="Times New Roman" w:cs="Times New Roman"/>
          <w:sz w:val="24"/>
          <w:szCs w:val="24"/>
        </w:rPr>
        <w:t>,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425">
        <w:rPr>
          <w:rFonts w:ascii="Times New Roman" w:hAnsi="Times New Roman" w:cs="Times New Roman"/>
          <w:sz w:val="24"/>
          <w:szCs w:val="24"/>
        </w:rPr>
        <w:t>Ruviego</w:t>
      </w:r>
      <w:proofErr w:type="spellEnd"/>
      <w:r w:rsidRPr="00FD0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425">
        <w:rPr>
          <w:rFonts w:ascii="Times New Roman" w:hAnsi="Times New Roman" w:cs="Times New Roman"/>
          <w:sz w:val="24"/>
          <w:szCs w:val="24"/>
        </w:rPr>
        <w:t>Lusore</w:t>
      </w:r>
      <w:proofErr w:type="spellEnd"/>
      <w:r w:rsidRPr="00FD0425">
        <w:rPr>
          <w:rFonts w:ascii="Times New Roman" w:hAnsi="Times New Roman" w:cs="Times New Roman"/>
          <w:sz w:val="24"/>
          <w:szCs w:val="24"/>
        </w:rPr>
        <w:t>, Naviglio Brenta);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Fiume Brenta a Ponte di Brenta;</w:t>
      </w:r>
    </w:p>
    <w:p w:rsidR="00FD0425" w:rsidRPr="00FD0425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Canal Bianco (nei due punti monitorati);</w:t>
      </w:r>
    </w:p>
    <w:p w:rsidR="004A3959" w:rsidRDefault="00FD0425" w:rsidP="00FD04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425">
        <w:rPr>
          <w:rFonts w:ascii="Arial" w:hAnsi="Arial" w:cs="Times New Roman"/>
          <w:sz w:val="24"/>
          <w:szCs w:val="24"/>
        </w:rPr>
        <w:t>􀁸</w:t>
      </w:r>
      <w:r w:rsidRPr="00FD0425">
        <w:rPr>
          <w:rFonts w:ascii="Times New Roman" w:hAnsi="Times New Roman" w:cs="Times New Roman"/>
          <w:sz w:val="24"/>
          <w:szCs w:val="24"/>
        </w:rPr>
        <w:t xml:space="preserve"> il Fiume Po (nei due punti monitorati).</w:t>
      </w:r>
    </w:p>
    <w:p w:rsidR="0046232F" w:rsidRDefault="006214F3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pag.186 del Piano è riportata in tabella </w:t>
      </w:r>
      <w:r w:rsidRPr="006214F3">
        <w:rPr>
          <w:rFonts w:ascii="Times New Roman" w:hAnsi="Times New Roman" w:cs="Times New Roman"/>
          <w:sz w:val="24"/>
          <w:szCs w:val="24"/>
        </w:rPr>
        <w:t xml:space="preserve">la </w:t>
      </w:r>
      <w:r w:rsidRPr="006214F3">
        <w:rPr>
          <w:rFonts w:ascii="Times New Roman" w:hAnsi="Times New Roman" w:cs="Times New Roman"/>
          <w:iCs/>
          <w:sz w:val="24"/>
          <w:szCs w:val="24"/>
        </w:rPr>
        <w:t>Classificazione dello stato ecologico ed ambientale dei corsi d’acqua neg</w:t>
      </w:r>
      <w:r w:rsidR="00480E23">
        <w:rPr>
          <w:rFonts w:ascii="Times New Roman" w:hAnsi="Times New Roman" w:cs="Times New Roman"/>
          <w:iCs/>
          <w:sz w:val="24"/>
          <w:szCs w:val="24"/>
        </w:rPr>
        <w:t>li anni 2000-2001-2002-2003-2004.</w:t>
      </w:r>
    </w:p>
    <w:p w:rsidR="006214F3" w:rsidRDefault="006214F3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0478C" w:rsidRDefault="00E0478C" w:rsidP="00503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Ai fini della ponderazione si andrà a considerare l’ultimo anno disponibile per ogni stazione</w:t>
      </w:r>
      <w:r w:rsidR="001D5CCA">
        <w:rPr>
          <w:rFonts w:ascii="Times New Roman" w:hAnsi="Times New Roman" w:cs="Times New Roman"/>
          <w:iCs/>
          <w:sz w:val="24"/>
          <w:szCs w:val="24"/>
        </w:rPr>
        <w:t xml:space="preserve"> (colonna 3)</w:t>
      </w:r>
      <w:r>
        <w:rPr>
          <w:rFonts w:ascii="Times New Roman" w:hAnsi="Times New Roman" w:cs="Times New Roman"/>
          <w:iCs/>
          <w:sz w:val="24"/>
          <w:szCs w:val="24"/>
        </w:rPr>
        <w:t>, lo stato ecologico (terz’ultima colonna) e lo stato ambientale (ultima colonna).</w:t>
      </w:r>
    </w:p>
    <w:p w:rsidR="00E0478C" w:rsidRDefault="00E0478C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0478C" w:rsidRDefault="00E0478C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Per lo </w:t>
      </w:r>
      <w:r w:rsidRPr="006561BA">
        <w:rPr>
          <w:rFonts w:ascii="Times New Roman" w:hAnsi="Times New Roman" w:cs="Times New Roman"/>
          <w:b/>
          <w:i/>
          <w:iCs/>
          <w:sz w:val="24"/>
          <w:szCs w:val="24"/>
        </w:rPr>
        <w:t>stato ecologico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E0478C" w:rsidRDefault="00E0478C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87"/>
        <w:gridCol w:w="9072"/>
      </w:tblGrid>
      <w:tr w:rsidR="00E0478C" w:rsidRPr="00171331" w:rsidTr="002E68FF">
        <w:tc>
          <w:tcPr>
            <w:tcW w:w="687" w:type="dxa"/>
          </w:tcPr>
          <w:p w:rsidR="00E0478C" w:rsidRPr="00171331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E0478C" w:rsidRPr="00171331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E0478C" w:rsidTr="002E68FF">
        <w:tc>
          <w:tcPr>
            <w:tcW w:w="687" w:type="dxa"/>
          </w:tcPr>
          <w:p w:rsidR="00E0478C" w:rsidRPr="00171331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E0478C" w:rsidRPr="00171331" w:rsidRDefault="00E0478C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ecologico è pari a 1</w:t>
            </w:r>
          </w:p>
        </w:tc>
      </w:tr>
      <w:tr w:rsidR="00E0478C" w:rsidTr="002E68FF">
        <w:tc>
          <w:tcPr>
            <w:tcW w:w="687" w:type="dxa"/>
          </w:tcPr>
          <w:p w:rsidR="00E0478C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E0478C" w:rsidRDefault="00E0478C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ecologico è pari a 2</w:t>
            </w:r>
          </w:p>
        </w:tc>
      </w:tr>
      <w:tr w:rsidR="00E0478C" w:rsidTr="002E68FF">
        <w:tc>
          <w:tcPr>
            <w:tcW w:w="687" w:type="dxa"/>
          </w:tcPr>
          <w:p w:rsidR="00E0478C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0478C" w:rsidRDefault="00E0478C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ecologico è pari a 3</w:t>
            </w:r>
          </w:p>
        </w:tc>
      </w:tr>
      <w:tr w:rsidR="00E0478C" w:rsidTr="002E68FF">
        <w:tc>
          <w:tcPr>
            <w:tcW w:w="687" w:type="dxa"/>
          </w:tcPr>
          <w:p w:rsidR="00E0478C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0478C" w:rsidRDefault="00E0478C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ecologico è pari a 4</w:t>
            </w:r>
          </w:p>
        </w:tc>
      </w:tr>
      <w:tr w:rsidR="00E0478C" w:rsidTr="002E68FF">
        <w:tc>
          <w:tcPr>
            <w:tcW w:w="687" w:type="dxa"/>
          </w:tcPr>
          <w:p w:rsidR="00E0478C" w:rsidRPr="00171331" w:rsidRDefault="00E0478C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E0478C" w:rsidRPr="00171331" w:rsidRDefault="00E0478C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ecologico è pari a 5</w:t>
            </w:r>
          </w:p>
        </w:tc>
      </w:tr>
    </w:tbl>
    <w:p w:rsidR="00E0478C" w:rsidRDefault="00E0478C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561BA" w:rsidRDefault="006561BA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Per lo </w:t>
      </w:r>
      <w:r w:rsidRPr="00A92BF7">
        <w:rPr>
          <w:rFonts w:ascii="Times New Roman" w:hAnsi="Times New Roman" w:cs="Times New Roman"/>
          <w:b/>
          <w:i/>
          <w:iCs/>
          <w:sz w:val="24"/>
          <w:szCs w:val="24"/>
        </w:rPr>
        <w:t>stato ambientale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A92BF7" w:rsidRDefault="00A92BF7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87"/>
        <w:gridCol w:w="9072"/>
      </w:tblGrid>
      <w:tr w:rsidR="00A92BF7" w:rsidRPr="00171331" w:rsidTr="002E68FF">
        <w:tc>
          <w:tcPr>
            <w:tcW w:w="687" w:type="dxa"/>
          </w:tcPr>
          <w:p w:rsidR="00A92BF7" w:rsidRPr="00171331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A92BF7" w:rsidRPr="00171331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A92BF7" w:rsidTr="002E68FF">
        <w:tc>
          <w:tcPr>
            <w:tcW w:w="687" w:type="dxa"/>
          </w:tcPr>
          <w:p w:rsidR="00A92BF7" w:rsidRPr="00171331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A92BF7" w:rsidRPr="00171331" w:rsidRDefault="00A92BF7" w:rsidP="00A92B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ambientale è elevato</w:t>
            </w:r>
          </w:p>
        </w:tc>
      </w:tr>
      <w:tr w:rsidR="00A92BF7" w:rsidTr="002E68FF">
        <w:tc>
          <w:tcPr>
            <w:tcW w:w="687" w:type="dxa"/>
          </w:tcPr>
          <w:p w:rsidR="00A92BF7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A92BF7" w:rsidRDefault="00A92BF7" w:rsidP="00A92B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ambientale è buono</w:t>
            </w:r>
          </w:p>
        </w:tc>
      </w:tr>
      <w:tr w:rsidR="00A92BF7" w:rsidTr="002E68FF">
        <w:tc>
          <w:tcPr>
            <w:tcW w:w="687" w:type="dxa"/>
          </w:tcPr>
          <w:p w:rsidR="00A92BF7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A92BF7" w:rsidRDefault="00A92BF7" w:rsidP="00A92B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ambientale è sufficiente</w:t>
            </w:r>
          </w:p>
        </w:tc>
      </w:tr>
      <w:tr w:rsidR="00A92BF7" w:rsidTr="002E68FF">
        <w:tc>
          <w:tcPr>
            <w:tcW w:w="687" w:type="dxa"/>
          </w:tcPr>
          <w:p w:rsidR="00A92BF7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A92BF7" w:rsidRDefault="00A92BF7" w:rsidP="00A92BF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ambientale è scadente</w:t>
            </w:r>
          </w:p>
        </w:tc>
      </w:tr>
      <w:tr w:rsidR="00A92BF7" w:rsidTr="002E68FF">
        <w:tc>
          <w:tcPr>
            <w:tcW w:w="687" w:type="dxa"/>
          </w:tcPr>
          <w:p w:rsidR="00A92BF7" w:rsidRPr="00171331" w:rsidRDefault="00A92BF7" w:rsidP="002E6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A92BF7" w:rsidRPr="00171331" w:rsidRDefault="00A92BF7" w:rsidP="002E68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 stato ambientale è pessimo</w:t>
            </w:r>
          </w:p>
        </w:tc>
      </w:tr>
    </w:tbl>
    <w:p w:rsidR="006561BA" w:rsidRDefault="006561BA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22088" w:rsidRDefault="00122088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Nella Relazione </w:t>
      </w:r>
      <w:r w:rsidR="00BB69B5">
        <w:rPr>
          <w:rFonts w:ascii="Times New Roman" w:hAnsi="Times New Roman" w:cs="Times New Roman"/>
          <w:iCs/>
          <w:sz w:val="24"/>
          <w:szCs w:val="24"/>
        </w:rPr>
        <w:t xml:space="preserve">è importante </w:t>
      </w:r>
      <w:r>
        <w:rPr>
          <w:rFonts w:ascii="Times New Roman" w:hAnsi="Times New Roman" w:cs="Times New Roman"/>
          <w:iCs/>
          <w:sz w:val="24"/>
          <w:szCs w:val="24"/>
        </w:rPr>
        <w:t>spiegare in sintesi il significato degli indicatori.</w:t>
      </w:r>
    </w:p>
    <w:p w:rsidR="00122088" w:rsidRDefault="00122088" w:rsidP="0062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0E23" w:rsidRDefault="00480E23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0E23" w:rsidRDefault="00EF6B80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Per la </w:t>
      </w:r>
      <w:r w:rsidRPr="00E00AD3">
        <w:rPr>
          <w:rFonts w:ascii="Times New Roman" w:hAnsi="Times New Roman" w:cs="Times New Roman"/>
          <w:b/>
          <w:iCs/>
          <w:sz w:val="24"/>
          <w:szCs w:val="24"/>
        </w:rPr>
        <w:t>Regione Friuli Venezia Giulia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EF6B80" w:rsidRDefault="00346FAF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9" w:history="1">
        <w:r w:rsidR="00EF6B80" w:rsidRPr="00AC0181">
          <w:rPr>
            <w:rStyle w:val="Collegamentoipertestuale"/>
            <w:rFonts w:ascii="Times New Roman" w:hAnsi="Times New Roman" w:cs="Times New Roman"/>
            <w:iCs/>
            <w:sz w:val="24"/>
            <w:szCs w:val="24"/>
          </w:rPr>
          <w:t>http://www.arpa.fvg.it/cms/tema/acqua/acque-superficiali-interne/piani/piano-regionale.html</w:t>
        </w:r>
      </w:hyperlink>
    </w:p>
    <w:p w:rsidR="00EF6B80" w:rsidRDefault="00EF6B80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dove si può consultare la mappa e il piano regionale delle acque, di cui va descritta in maniera sintetica l’impostazione; consultare anche “schede stazione” (vedi a metà pagina circa).</w:t>
      </w:r>
    </w:p>
    <w:p w:rsidR="00462366" w:rsidRDefault="00462366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Si consiglia anche la consultazione del sito</w:t>
      </w:r>
    </w:p>
    <w:p w:rsidR="00EF6B80" w:rsidRDefault="00346FAF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0" w:history="1">
        <w:r w:rsidR="00462366" w:rsidRPr="00AC0181">
          <w:rPr>
            <w:rStyle w:val="Collegamentoipertestuale"/>
            <w:rFonts w:ascii="Times New Roman" w:hAnsi="Times New Roman" w:cs="Times New Roman"/>
            <w:iCs/>
            <w:sz w:val="24"/>
            <w:szCs w:val="24"/>
          </w:rPr>
          <w:t>http://dati.arpa.fvg.it/fileadmin/Informazione/Pubblicazioni/RSA_2012/10_Qualita_delle_acque_potabili.pdf</w:t>
        </w:r>
      </w:hyperlink>
    </w:p>
    <w:p w:rsidR="00462366" w:rsidRDefault="00462366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dove è molto interessante la zonizzazione a livello comunale della qualità dell’acqua potabile e la concentrazione di nitrati delle acque potabili; per questo aspetto si può costruire un indice ad esso dedicato con una opportuna ponderazione; eventualmente contattare il docente.</w:t>
      </w:r>
    </w:p>
    <w:p w:rsidR="00FA218A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A218A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A218A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 provincia Autonoma di Trento può fare riferimento al solo indice dello </w:t>
      </w:r>
      <w:r w:rsidRPr="00FA218A">
        <w:rPr>
          <w:rFonts w:ascii="Times New Roman" w:hAnsi="Times New Roman" w:cs="Times New Roman"/>
          <w:b/>
          <w:iCs/>
          <w:sz w:val="28"/>
          <w:szCs w:val="28"/>
        </w:rPr>
        <w:t>stato ecologico</w:t>
      </w:r>
      <w:r>
        <w:rPr>
          <w:rFonts w:ascii="Times New Roman" w:hAnsi="Times New Roman" w:cs="Times New Roman"/>
          <w:iCs/>
          <w:sz w:val="24"/>
          <w:szCs w:val="24"/>
        </w:rPr>
        <w:t>, facendo riferimento al sito</w:t>
      </w:r>
    </w:p>
    <w:p w:rsidR="00FA218A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218A">
        <w:rPr>
          <w:rFonts w:ascii="Times New Roman" w:hAnsi="Times New Roman" w:cs="Times New Roman"/>
          <w:iCs/>
          <w:sz w:val="24"/>
          <w:szCs w:val="24"/>
        </w:rPr>
        <w:t>http://www.appa.provincia.tn.it/acqua/corsi_acqua/-reti_monitoraggio/</w:t>
      </w:r>
    </w:p>
    <w:p w:rsidR="00FA218A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 cui si riporta il Monitoraggio e classificazione dei corpi fluviali e La valutazione dello stato chimico e dello stato ecologico (lo stato chimico varia poco sul territorio trentino e quindi può essere trascurato come indicatore)</w:t>
      </w:r>
    </w:p>
    <w:p w:rsidR="00FA218A" w:rsidRPr="006214F3" w:rsidRDefault="00FA218A" w:rsidP="00462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Per la classificazione si può fare riferimento al tratto più vicino al comune considerato e si può costruire ad ok la tabella di ponderazione sulla base della legenda riportata nella figura 4 di pagina 16. Informazioni più dettagliate si traggono nelle pagine successive.</w:t>
      </w:r>
    </w:p>
    <w:sectPr w:rsidR="00FA218A" w:rsidRPr="006214F3" w:rsidSect="00F30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DB" w:rsidRDefault="002914DB" w:rsidP="001D5CCA">
      <w:pPr>
        <w:spacing w:after="0" w:line="240" w:lineRule="auto"/>
      </w:pPr>
      <w:r>
        <w:separator/>
      </w:r>
    </w:p>
  </w:endnote>
  <w:endnote w:type="continuationSeparator" w:id="0">
    <w:p w:rsidR="002914DB" w:rsidRDefault="002914DB" w:rsidP="001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SRI Arrowhead">
    <w:panose1 w:val="020005090000000200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DB" w:rsidRDefault="002914DB" w:rsidP="001D5CCA">
      <w:pPr>
        <w:spacing w:after="0" w:line="240" w:lineRule="auto"/>
      </w:pPr>
      <w:r>
        <w:separator/>
      </w:r>
    </w:p>
  </w:footnote>
  <w:footnote w:type="continuationSeparator" w:id="0">
    <w:p w:rsidR="002914DB" w:rsidRDefault="002914DB" w:rsidP="001D5CCA">
      <w:pPr>
        <w:spacing w:after="0" w:line="240" w:lineRule="auto"/>
      </w:pPr>
      <w:r>
        <w:continuationSeparator/>
      </w:r>
    </w:p>
  </w:footnote>
  <w:footnote w:id="1">
    <w:p w:rsidR="001D5CCA" w:rsidRPr="001D5CCA" w:rsidRDefault="001D5CCA" w:rsidP="001D5CCA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D5CCA">
        <w:rPr>
          <w:rFonts w:ascii="Tahoma" w:hAnsi="Tahoma" w:cs="Tahoma"/>
          <w:sz w:val="16"/>
          <w:szCs w:val="16"/>
        </w:rPr>
        <w:t>Per Unità Sistematiche si intendono i livelli di classificazione dei macroinvertebrati, su</w:t>
      </w:r>
      <w:r>
        <w:rPr>
          <w:rFonts w:ascii="Tahoma" w:hAnsi="Tahoma" w:cs="Tahoma"/>
          <w:sz w:val="16"/>
          <w:szCs w:val="16"/>
        </w:rPr>
        <w:t>periori alla specie. E’ infatti</w:t>
      </w:r>
      <w:r w:rsidRPr="001D5CCA">
        <w:rPr>
          <w:rFonts w:ascii="Tahoma" w:hAnsi="Tahoma" w:cs="Tahoma"/>
          <w:sz w:val="16"/>
          <w:szCs w:val="16"/>
        </w:rPr>
        <w:t xml:space="preserve"> troppo difficile determinare gli organismi fino a livello di specie, e quindi si contano o i generi o le famiglie presenti.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7F67"/>
    <w:multiLevelType w:val="hybridMultilevel"/>
    <w:tmpl w:val="C6EA95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217"/>
    <w:multiLevelType w:val="hybridMultilevel"/>
    <w:tmpl w:val="6EA05676"/>
    <w:lvl w:ilvl="0" w:tplc="BDCCE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82012"/>
    <w:multiLevelType w:val="hybridMultilevel"/>
    <w:tmpl w:val="108E5B68"/>
    <w:lvl w:ilvl="0" w:tplc="0526F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7C6"/>
    <w:rsid w:val="00001FC7"/>
    <w:rsid w:val="00093D78"/>
    <w:rsid w:val="000C0E99"/>
    <w:rsid w:val="000E2F23"/>
    <w:rsid w:val="00101019"/>
    <w:rsid w:val="00122088"/>
    <w:rsid w:val="0016594A"/>
    <w:rsid w:val="001D5CCA"/>
    <w:rsid w:val="00234A4B"/>
    <w:rsid w:val="00252536"/>
    <w:rsid w:val="002548A4"/>
    <w:rsid w:val="002914DB"/>
    <w:rsid w:val="002A62BA"/>
    <w:rsid w:val="003237B3"/>
    <w:rsid w:val="00346FAF"/>
    <w:rsid w:val="00355596"/>
    <w:rsid w:val="003856E6"/>
    <w:rsid w:val="003A6BF7"/>
    <w:rsid w:val="003E6AA1"/>
    <w:rsid w:val="00413A22"/>
    <w:rsid w:val="004569BC"/>
    <w:rsid w:val="0046232F"/>
    <w:rsid w:val="00462366"/>
    <w:rsid w:val="00480E23"/>
    <w:rsid w:val="0048116D"/>
    <w:rsid w:val="00493592"/>
    <w:rsid w:val="004A3959"/>
    <w:rsid w:val="004D49DC"/>
    <w:rsid w:val="005037AB"/>
    <w:rsid w:val="00507C09"/>
    <w:rsid w:val="00520375"/>
    <w:rsid w:val="00554D87"/>
    <w:rsid w:val="005A2D2B"/>
    <w:rsid w:val="005C0070"/>
    <w:rsid w:val="005E2DF2"/>
    <w:rsid w:val="006214F3"/>
    <w:rsid w:val="006561BA"/>
    <w:rsid w:val="00660655"/>
    <w:rsid w:val="006F57C6"/>
    <w:rsid w:val="00707346"/>
    <w:rsid w:val="00716C25"/>
    <w:rsid w:val="00753E87"/>
    <w:rsid w:val="007566A5"/>
    <w:rsid w:val="007A2DD9"/>
    <w:rsid w:val="007E6625"/>
    <w:rsid w:val="00824505"/>
    <w:rsid w:val="008A4238"/>
    <w:rsid w:val="00907758"/>
    <w:rsid w:val="00957B01"/>
    <w:rsid w:val="00967B1F"/>
    <w:rsid w:val="00970F62"/>
    <w:rsid w:val="00A223E6"/>
    <w:rsid w:val="00A26731"/>
    <w:rsid w:val="00A34347"/>
    <w:rsid w:val="00A6618E"/>
    <w:rsid w:val="00A92BF7"/>
    <w:rsid w:val="00B17F8F"/>
    <w:rsid w:val="00B21BF9"/>
    <w:rsid w:val="00B31D5C"/>
    <w:rsid w:val="00BB69B5"/>
    <w:rsid w:val="00C1043C"/>
    <w:rsid w:val="00C11579"/>
    <w:rsid w:val="00C357E0"/>
    <w:rsid w:val="00C611CC"/>
    <w:rsid w:val="00C926B7"/>
    <w:rsid w:val="00CD4D38"/>
    <w:rsid w:val="00CE2639"/>
    <w:rsid w:val="00D00059"/>
    <w:rsid w:val="00D36D3C"/>
    <w:rsid w:val="00D70B8C"/>
    <w:rsid w:val="00E00AD3"/>
    <w:rsid w:val="00E0478C"/>
    <w:rsid w:val="00E31F0F"/>
    <w:rsid w:val="00E62E8C"/>
    <w:rsid w:val="00E65329"/>
    <w:rsid w:val="00E66491"/>
    <w:rsid w:val="00E829F9"/>
    <w:rsid w:val="00EF6B80"/>
    <w:rsid w:val="00F30791"/>
    <w:rsid w:val="00F4178D"/>
    <w:rsid w:val="00F81B14"/>
    <w:rsid w:val="00F97FF2"/>
    <w:rsid w:val="00FA218A"/>
    <w:rsid w:val="00FB4A0D"/>
    <w:rsid w:val="00FD0425"/>
    <w:rsid w:val="00FE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6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59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FC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34A4B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507C0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C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C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5C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regione.veneto.it/UCI/Piano%20Tutela%20Acque/Piano%20Tutela%20Acque%20Allegato%20A%201.pdf" TargetMode="External"/><Relationship Id="rId13" Type="http://schemas.openxmlformats.org/officeDocument/2006/relationships/hyperlink" Target="http://www.ors.regione.lombardia.it/resources/pagina/N12033ddbf819816f51f/N12033ddbf819816f51f/cartografia.pdf" TargetMode="External"/><Relationship Id="rId18" Type="http://schemas.openxmlformats.org/officeDocument/2006/relationships/hyperlink" Target="javascript:apri_finestra('classi-qualita.htm','width=700,height=550')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trc.it/ita/pianificazione-territoriale-veneto-ptrc-adottato.php" TargetMode="External"/><Relationship Id="rId17" Type="http://schemas.openxmlformats.org/officeDocument/2006/relationships/hyperlink" Target="javascript:apri_finestra('tabella-ibe.htm','width=700,height=500')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arbo-life.eu/sites/default/files/documprivati/10_ARPA_FVG.pdf" TargetMode="External"/><Relationship Id="rId20" Type="http://schemas.openxmlformats.org/officeDocument/2006/relationships/hyperlink" Target="http://dati.arpa.fvg.it/fileadmin/Informazione/Pubblicazioni/RSA_2012/10_Qualita_delle_acque_potabili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ap.provincia.tn.it/pdf/Piano/2part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pa.provincia.tn.it/binary/pat_appa/rapamb12_qualita/14_RSA_Acqua.1361793259.pdf" TargetMode="External"/><Relationship Id="rId10" Type="http://schemas.openxmlformats.org/officeDocument/2006/relationships/hyperlink" Target="http://www.ambientebrescia.it/Fiumi.pdf" TargetMode="External"/><Relationship Id="rId19" Type="http://schemas.openxmlformats.org/officeDocument/2006/relationships/hyperlink" Target="http://www.arpa.fvg.it/cms/tema/acqua/acque-superficiali-interne/piani/piano-regiona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.regione.lombardia.it/resources/pagina/N11e3b0af51da6020148/N11e3b0af51da6020148/PROGRAMMA_DI_TUTELA_E_USO_DELLE_ACQUE_IL_lOMBARDIA.pdf" TargetMode="External"/><Relationship Id="rId14" Type="http://schemas.openxmlformats.org/officeDocument/2006/relationships/hyperlink" Target="http://www.ors.regione.lombardia.it/resources/pagina/N12032ced450401d4ce6/N12032ced450401d4ce6/allegato_1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B85EE-5B8F-49FC-A351-E01EF360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dc:description/>
  <cp:lastModifiedBy>Nome utente</cp:lastModifiedBy>
  <cp:revision>5</cp:revision>
  <dcterms:created xsi:type="dcterms:W3CDTF">2014-05-12T15:54:00Z</dcterms:created>
  <dcterms:modified xsi:type="dcterms:W3CDTF">2014-05-12T17:11:00Z</dcterms:modified>
</cp:coreProperties>
</file>